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D7" w:rsidRPr="000906D7" w:rsidRDefault="000906D7" w:rsidP="000906D7">
      <w:pPr>
        <w:rPr>
          <w:b/>
          <w:bCs/>
          <w:sz w:val="32"/>
          <w:szCs w:val="32"/>
        </w:rPr>
      </w:pPr>
      <w:r w:rsidRPr="000906D7">
        <w:rPr>
          <w:b/>
          <w:bCs/>
          <w:sz w:val="32"/>
          <w:szCs w:val="32"/>
        </w:rPr>
        <w:t>INDEPENDENT AUDITORS’ REPORT</w:t>
      </w:r>
    </w:p>
    <w:p w:rsidR="000906D7" w:rsidRDefault="000906D7" w:rsidP="000906D7"/>
    <w:p w:rsidR="000906D7" w:rsidRDefault="000906D7" w:rsidP="000906D7">
      <w:pPr>
        <w:jc w:val="both"/>
      </w:pPr>
      <w:r>
        <w:t>Chairman</w:t>
      </w:r>
    </w:p>
    <w:p w:rsidR="000906D7" w:rsidRDefault="000906D7" w:rsidP="000906D7">
      <w:pPr>
        <w:jc w:val="both"/>
      </w:pPr>
      <w:r>
        <w:t>People’s Leasing &amp; Finance PLC</w:t>
      </w:r>
    </w:p>
    <w:p w:rsidR="000906D7" w:rsidRDefault="000906D7" w:rsidP="000906D7">
      <w:pPr>
        <w:jc w:val="both"/>
      </w:pPr>
    </w:p>
    <w:p w:rsidR="000906D7" w:rsidRDefault="000906D7" w:rsidP="000906D7">
      <w:pPr>
        <w:jc w:val="both"/>
      </w:pPr>
      <w:r>
        <w:t>Report of the Auditor General on the Financial Statements and Other Legal and Regulatory Requirements of the People’s Leasing &amp; Finance PLC and its subsidiaries for the year ended 31 March 2024 in terms of Section 12 of the National Audit Act, No. 19 of 2018.</w:t>
      </w:r>
    </w:p>
    <w:p w:rsidR="000906D7" w:rsidRDefault="000906D7" w:rsidP="000906D7">
      <w:pPr>
        <w:jc w:val="both"/>
      </w:pPr>
    </w:p>
    <w:p w:rsidR="000906D7" w:rsidRPr="00C9417B" w:rsidRDefault="000906D7" w:rsidP="000906D7">
      <w:pPr>
        <w:jc w:val="both"/>
        <w:rPr>
          <w:b/>
          <w:bCs/>
        </w:rPr>
      </w:pPr>
      <w:r w:rsidRPr="00C9417B">
        <w:rPr>
          <w:b/>
          <w:bCs/>
        </w:rPr>
        <w:t>1. FINANCIAL STATEMENTS</w:t>
      </w:r>
    </w:p>
    <w:p w:rsidR="000906D7" w:rsidRDefault="000906D7" w:rsidP="000906D7">
      <w:pPr>
        <w:jc w:val="both"/>
      </w:pPr>
    </w:p>
    <w:p w:rsidR="000906D7" w:rsidRPr="00C9417B" w:rsidRDefault="000906D7" w:rsidP="000906D7">
      <w:pPr>
        <w:jc w:val="both"/>
        <w:rPr>
          <w:b/>
          <w:bCs/>
        </w:rPr>
      </w:pPr>
      <w:r w:rsidRPr="00C9417B">
        <w:rPr>
          <w:b/>
          <w:bCs/>
        </w:rPr>
        <w:t>1.1 opinion</w:t>
      </w:r>
    </w:p>
    <w:p w:rsidR="000906D7" w:rsidRDefault="000906D7" w:rsidP="000906D7">
      <w:pPr>
        <w:jc w:val="both"/>
      </w:pPr>
      <w:r>
        <w:t>"The audit of the financial statements of the People’s Leasing &amp; Finance PLC (“the Company”) and the consolidated financial statements of the Company and its subsidiaries (“the Group”) for the year ended 31 March 2024 comprising the statement of financial position as at 31 March 2024, and statement of profit or loss, statement of comprehensive income, statement of changes in equity and statement of cash flows for the year then ended, and notes to the financial statements, including material accounting policy information, was carried out under my direction in pursuance of provisions in Article154(1) of the Constitution of the Democratic Socialist Republic of Sri Lanka read in conjunction with provisions of the National Audit Act No. 19 of 2018. To carry out this audit I was assisted by a firm of Chartered</w:t>
      </w:r>
    </w:p>
    <w:p w:rsidR="000906D7" w:rsidRDefault="000906D7" w:rsidP="000906D7">
      <w:pPr>
        <w:jc w:val="both"/>
      </w:pPr>
      <w:r>
        <w:t>Accountants in public practice. My report to Parliament in pursuance of provisions in Article 154(6) of the Constitution will be tabled in due course.</w:t>
      </w:r>
    </w:p>
    <w:p w:rsidR="000906D7" w:rsidRDefault="000906D7" w:rsidP="000906D7">
      <w:pPr>
        <w:jc w:val="both"/>
      </w:pPr>
      <w:r>
        <w:t>"</w:t>
      </w:r>
    </w:p>
    <w:p w:rsidR="000906D7" w:rsidRDefault="000906D7" w:rsidP="000906D7">
      <w:pPr>
        <w:jc w:val="both"/>
      </w:pPr>
      <w:r>
        <w:t>In my opinion, the accompanying financial statements of the Company and the Group give a true and fair view of the financial position of the Company and the Group as at 31 March 2024 and of their financial performance and cash flows for the year then ended in accordance with Sri Lanka Accounting Standards.</w:t>
      </w:r>
    </w:p>
    <w:p w:rsidR="000906D7" w:rsidRPr="00C9417B" w:rsidRDefault="000906D7" w:rsidP="000906D7">
      <w:pPr>
        <w:jc w:val="both"/>
        <w:rPr>
          <w:b/>
          <w:bCs/>
        </w:rPr>
      </w:pPr>
      <w:r w:rsidRPr="00C9417B">
        <w:rPr>
          <w:b/>
          <w:bCs/>
        </w:rPr>
        <w:t>1.2 Basis for Opinion</w:t>
      </w:r>
    </w:p>
    <w:p w:rsidR="000906D7" w:rsidRDefault="000906D7" w:rsidP="000906D7">
      <w:pPr>
        <w:jc w:val="both"/>
      </w:pPr>
      <w:r>
        <w:t>I conducted my audit in accordance with Sri Lanka Auditing Standards (</w:t>
      </w:r>
      <w:proofErr w:type="spellStart"/>
      <w:r>
        <w:t>SLAuSs</w:t>
      </w:r>
      <w:proofErr w:type="spellEnd"/>
      <w:r>
        <w:t>). My responsibilities, under those standards are further described in the Auditor’s Responsibilities for the audit of the financial statements section of my report. I believe that the audit evidence I have obtained is sufficient and appropriate to provide a basis for my opinion.</w:t>
      </w:r>
    </w:p>
    <w:p w:rsidR="000906D7" w:rsidRDefault="000906D7" w:rsidP="000906D7">
      <w:pPr>
        <w:jc w:val="both"/>
      </w:pPr>
    </w:p>
    <w:p w:rsidR="0095763B" w:rsidRDefault="0095763B" w:rsidP="000906D7">
      <w:pPr>
        <w:jc w:val="both"/>
      </w:pPr>
    </w:p>
    <w:p w:rsidR="0095763B" w:rsidRDefault="0095763B" w:rsidP="000906D7">
      <w:pPr>
        <w:jc w:val="both"/>
      </w:pPr>
    </w:p>
    <w:p w:rsidR="000906D7" w:rsidRPr="00C9417B" w:rsidRDefault="000906D7" w:rsidP="000906D7">
      <w:pPr>
        <w:jc w:val="both"/>
        <w:rPr>
          <w:b/>
          <w:bCs/>
        </w:rPr>
      </w:pPr>
      <w:r w:rsidRPr="00C9417B">
        <w:rPr>
          <w:b/>
          <w:bCs/>
        </w:rPr>
        <w:lastRenderedPageBreak/>
        <w:t>1.3 Key Audit Matters</w:t>
      </w:r>
    </w:p>
    <w:p w:rsidR="005F388B" w:rsidRDefault="000906D7" w:rsidP="000906D7">
      <w:pPr>
        <w:jc w:val="both"/>
      </w:pPr>
      <w:r>
        <w:t>Key audit matters are those matters that, in my professional judgment, were of most significance in the audit of the financial statements of the current period. These matters were addressed in the context of the audit of the financial statements as a whole, and in forming my opinion thereon, and I do not provide a separate opinion on these matters. For each matter below, my description of how my audit addressed the matter is provided in that context.</w:t>
      </w:r>
    </w:p>
    <w:p w:rsidR="000906D7" w:rsidRDefault="000906D7" w:rsidP="000906D7">
      <w:pPr>
        <w:jc w:val="both"/>
      </w:pPr>
    </w:p>
    <w:p w:rsidR="000906D7" w:rsidRDefault="000906D7" w:rsidP="000906D7">
      <w:pPr>
        <w:jc w:val="both"/>
      </w:pPr>
      <w:proofErr w:type="gramStart"/>
      <w:r>
        <w:t>key</w:t>
      </w:r>
      <w:proofErr w:type="gramEnd"/>
      <w:r>
        <w:t xml:space="preserve"> Audit Matters</w:t>
      </w:r>
    </w:p>
    <w:p w:rsidR="000906D7" w:rsidRDefault="000906D7" w:rsidP="000906D7">
      <w:pPr>
        <w:jc w:val="both"/>
      </w:pPr>
    </w:p>
    <w:p w:rsidR="000906D7" w:rsidRPr="0095763B" w:rsidRDefault="000906D7" w:rsidP="000906D7">
      <w:pPr>
        <w:jc w:val="both"/>
        <w:rPr>
          <w:b/>
          <w:bCs/>
        </w:rPr>
      </w:pPr>
      <w:r w:rsidRPr="0095763B">
        <w:rPr>
          <w:b/>
          <w:bCs/>
        </w:rPr>
        <w:t>Allowance for impairment charges on Loans and Receivables carried at amortized cost.</w:t>
      </w:r>
    </w:p>
    <w:p w:rsidR="000906D7" w:rsidRDefault="000906D7" w:rsidP="000906D7">
      <w:pPr>
        <w:jc w:val="both"/>
      </w:pPr>
      <w:r>
        <w:t xml:space="preserve">Allowance for impairment charges amounting to LKR 9.7 </w:t>
      </w:r>
      <w:proofErr w:type="spellStart"/>
      <w:r>
        <w:t>Bn</w:t>
      </w:r>
      <w:proofErr w:type="spellEnd"/>
      <w:r>
        <w:t xml:space="preserve"> arising from Loans and Receivables of LKR 126.6 </w:t>
      </w:r>
      <w:proofErr w:type="spellStart"/>
      <w:r>
        <w:t>Bn</w:t>
      </w:r>
      <w:proofErr w:type="spellEnd"/>
      <w:r>
        <w:t xml:space="preserve"> (Note 25) is determined by the management based on the accounting policies described in Note 25.6</w:t>
      </w:r>
    </w:p>
    <w:p w:rsidR="000906D7" w:rsidRDefault="000906D7" w:rsidP="000906D7">
      <w:pPr>
        <w:jc w:val="both"/>
      </w:pPr>
      <w:r>
        <w:t>This was a key audit matter due to</w:t>
      </w:r>
    </w:p>
    <w:p w:rsidR="000906D7" w:rsidRDefault="000906D7" w:rsidP="000906D7">
      <w:pPr>
        <w:jc w:val="both"/>
      </w:pPr>
      <w:r>
        <w:t>»The involvement of significant management judgments, assumptions and level of estimation uncertainty associated in management’s expectation of future cash flows to recover such financial assets; and</w:t>
      </w:r>
    </w:p>
    <w:p w:rsidR="000906D7" w:rsidRDefault="000906D7" w:rsidP="000906D7">
      <w:pPr>
        <w:jc w:val="both"/>
      </w:pPr>
      <w:r>
        <w:t xml:space="preserve"> » The materiality of the reported amount of Allowance for impairment charges and use of complex calculations in its determination. </w:t>
      </w:r>
    </w:p>
    <w:p w:rsidR="000906D7" w:rsidRDefault="000906D7" w:rsidP="000906D7">
      <w:pPr>
        <w:jc w:val="both"/>
      </w:pPr>
    </w:p>
    <w:p w:rsidR="000906D7" w:rsidRDefault="000906D7" w:rsidP="000906D7">
      <w:pPr>
        <w:jc w:val="both"/>
      </w:pPr>
      <w:r>
        <w:t xml:space="preserve">Key areas of significant </w:t>
      </w:r>
      <w:proofErr w:type="spellStart"/>
      <w:r>
        <w:t>judgements</w:t>
      </w:r>
      <w:proofErr w:type="spellEnd"/>
      <w:r>
        <w:t xml:space="preserve">, assumptions and estimates used by management included; assumed future occurrence of events and/or transactions and </w:t>
      </w:r>
      <w:proofErr w:type="spellStart"/>
      <w:r>
        <w:t>forwardlooking</w:t>
      </w:r>
      <w:proofErr w:type="spellEnd"/>
      <w:r>
        <w:t xml:space="preserve"> macroeconomic scenarios and their associated weightages, which are subject to inherently heightened levels of estimation uncertainty</w:t>
      </w:r>
    </w:p>
    <w:p w:rsidR="000906D7" w:rsidRDefault="000906D7" w:rsidP="000906D7">
      <w:pPr>
        <w:jc w:val="both"/>
      </w:pPr>
    </w:p>
    <w:p w:rsidR="000906D7" w:rsidRPr="0095763B" w:rsidRDefault="000906D7" w:rsidP="000906D7">
      <w:pPr>
        <w:jc w:val="both"/>
        <w:rPr>
          <w:b/>
          <w:bCs/>
        </w:rPr>
      </w:pPr>
      <w:r w:rsidRPr="0095763B">
        <w:rPr>
          <w:b/>
          <w:bCs/>
        </w:rPr>
        <w:t>Information Technology (IT) systems related internal controls over financial reporting</w:t>
      </w:r>
    </w:p>
    <w:p w:rsidR="000906D7" w:rsidRDefault="000906D7" w:rsidP="000906D7">
      <w:pPr>
        <w:jc w:val="both"/>
      </w:pPr>
      <w:r>
        <w:t xml:space="preserve">Group’s financial reporting process is significantly reliant on multiple IT systems and related internal controls. Further, key financial statement disclosures are prepared using data and reports generated by IT </w:t>
      </w:r>
      <w:r w:rsidR="0095763B">
        <w:t>systems that</w:t>
      </w:r>
      <w:r>
        <w:t xml:space="preserve"> are compiled and formulated with the use of spread sheets.</w:t>
      </w:r>
    </w:p>
    <w:p w:rsidR="000906D7" w:rsidRDefault="000906D7" w:rsidP="000906D7">
      <w:pPr>
        <w:jc w:val="both"/>
      </w:pPr>
      <w:r>
        <w:t>Accordingly, IT systems related internal controls over financial reporting were considered a key audit matter.</w:t>
      </w:r>
    </w:p>
    <w:p w:rsidR="000906D7" w:rsidRDefault="000906D7" w:rsidP="000906D7">
      <w:pPr>
        <w:jc w:val="both"/>
      </w:pPr>
    </w:p>
    <w:p w:rsidR="000906D7" w:rsidRPr="00613D2D" w:rsidRDefault="00613D2D" w:rsidP="000906D7">
      <w:pPr>
        <w:jc w:val="both"/>
        <w:rPr>
          <w:b/>
          <w:bCs/>
        </w:rPr>
      </w:pPr>
      <w:r w:rsidRPr="00613D2D">
        <w:rPr>
          <w:b/>
          <w:bCs/>
        </w:rPr>
        <w:t>How my audit addressed the key audit matters</w:t>
      </w:r>
    </w:p>
    <w:p w:rsidR="00613D2D" w:rsidRPr="00613D2D" w:rsidRDefault="00613D2D" w:rsidP="00613D2D">
      <w:pPr>
        <w:jc w:val="both"/>
      </w:pPr>
      <w:r w:rsidRPr="00613D2D">
        <w:t>In addressing the adequacy of the allowances for impairment charges on Loans and Receivables carried at amortized cost, my audit procedures included the following key procedures:</w:t>
      </w:r>
    </w:p>
    <w:p w:rsidR="00613D2D" w:rsidRPr="00613D2D" w:rsidRDefault="00613D2D" w:rsidP="00613D2D">
      <w:pPr>
        <w:jc w:val="both"/>
      </w:pPr>
      <w:r w:rsidRPr="00613D2D">
        <w:lastRenderedPageBreak/>
        <w:t>»Assessed the alignment of the Group’s Allowance for impairment charge computations and underlying methodology including responses to economic conditions with its accounting policies, based on the best available information up to the date of my report.</w:t>
      </w:r>
    </w:p>
    <w:p w:rsidR="00613D2D" w:rsidRPr="00613D2D" w:rsidRDefault="00613D2D" w:rsidP="00613D2D">
      <w:pPr>
        <w:jc w:val="both"/>
      </w:pPr>
      <w:r w:rsidRPr="00613D2D">
        <w:t>»Evaluated the design, implementation, and operating effectiveness of controls estimation of Allowance for impairment charges, which included assessing the level of oversight, review and approval of allowance for impairment charges, policies and procedures by the Board and the management.</w:t>
      </w:r>
    </w:p>
    <w:p w:rsidR="00613D2D" w:rsidRPr="00613D2D" w:rsidRDefault="00613D2D" w:rsidP="00613D2D">
      <w:pPr>
        <w:jc w:val="both"/>
      </w:pPr>
      <w:r w:rsidRPr="00613D2D">
        <w:t>» Checked the completeness, accuracy and reasonableness of the underlying data used in the allowance for impairment charge computations by cross checking to relevant source documents and accounting records of the Group</w:t>
      </w:r>
    </w:p>
    <w:p w:rsidR="00613D2D" w:rsidRPr="00613D2D" w:rsidRDefault="00613D2D" w:rsidP="00613D2D">
      <w:pPr>
        <w:jc w:val="both"/>
      </w:pPr>
      <w:r w:rsidRPr="00613D2D">
        <w:t>»Evaluated the reasonableness of credit quality assessments and related stage classifications.</w:t>
      </w:r>
    </w:p>
    <w:p w:rsidR="00613D2D" w:rsidRPr="00613D2D" w:rsidRDefault="00613D2D" w:rsidP="00613D2D">
      <w:pPr>
        <w:jc w:val="both"/>
      </w:pPr>
      <w:r w:rsidRPr="00613D2D">
        <w:t xml:space="preserve">» Assessed the reasonableness of the </w:t>
      </w:r>
      <w:r w:rsidRPr="00613D2D">
        <w:t>judgments</w:t>
      </w:r>
      <w:r w:rsidRPr="00613D2D">
        <w:t>, assumptions and estimates used by the Management in assumed future occurrence of events and/or transactions including the value and the timing of cash flow forecasts, status of recovery actions of the collaterals, forward looking macroeconomic scenarios and their associated weightages.</w:t>
      </w:r>
    </w:p>
    <w:p w:rsidR="000906D7" w:rsidRPr="00613D2D" w:rsidRDefault="00613D2D" w:rsidP="00613D2D">
      <w:pPr>
        <w:jc w:val="both"/>
      </w:pPr>
      <w:r w:rsidRPr="00613D2D">
        <w:t>»Assessed the adequacy of the related financial statement disclosures set out in notes (11&amp;25)</w:t>
      </w:r>
    </w:p>
    <w:p w:rsidR="00613D2D" w:rsidRDefault="00613D2D" w:rsidP="00613D2D">
      <w:pPr>
        <w:jc w:val="both"/>
      </w:pPr>
    </w:p>
    <w:p w:rsidR="00613D2D" w:rsidRPr="00C9417B" w:rsidRDefault="00613D2D" w:rsidP="00613D2D">
      <w:pPr>
        <w:jc w:val="both"/>
        <w:rPr>
          <w:b/>
          <w:bCs/>
        </w:rPr>
      </w:pPr>
      <w:r w:rsidRPr="00613D2D">
        <w:rPr>
          <w:b/>
          <w:bCs/>
        </w:rPr>
        <w:t xml:space="preserve">My audit procedures included the following key </w:t>
      </w:r>
      <w:r w:rsidRPr="00613D2D">
        <w:rPr>
          <w:b/>
          <w:bCs/>
        </w:rPr>
        <w:t>procedures:</w:t>
      </w:r>
    </w:p>
    <w:p w:rsidR="00613D2D" w:rsidRDefault="00613D2D" w:rsidP="00613D2D">
      <w:pPr>
        <w:jc w:val="both"/>
      </w:pPr>
      <w:r>
        <w:t>» Obtained an understanding of the internal control environment of the relevant significant processes and test checked key controls relating to financial reporting and related disclosures.</w:t>
      </w:r>
    </w:p>
    <w:p w:rsidR="00613D2D" w:rsidRDefault="00613D2D" w:rsidP="00613D2D">
      <w:pPr>
        <w:jc w:val="both"/>
      </w:pPr>
      <w:r>
        <w:t>» Involved my internal specialized resources and;</w:t>
      </w:r>
    </w:p>
    <w:p w:rsidR="00613D2D" w:rsidRDefault="00613D2D" w:rsidP="00613D2D">
      <w:pPr>
        <w:jc w:val="both"/>
      </w:pPr>
      <w:r>
        <w:t>»Obtained an understanding of IT Governance Structure of the Group.</w:t>
      </w:r>
    </w:p>
    <w:p w:rsidR="00613D2D" w:rsidRDefault="00613D2D" w:rsidP="00613D2D">
      <w:pPr>
        <w:jc w:val="both"/>
      </w:pPr>
      <w:r>
        <w:t>» Identified, evaluated and tested the design and operating effectiveness of IT systems related internal controls over financial reporting, relating to user access and change management.</w:t>
      </w:r>
    </w:p>
    <w:p w:rsidR="00613D2D" w:rsidRDefault="00613D2D" w:rsidP="00613D2D">
      <w:pPr>
        <w:jc w:val="both"/>
      </w:pPr>
      <w:r>
        <w:t>» Obtained a high-level understanding of the cyber security risks relevant to the Group and the actions taken to address these risks primarily through inquiries related to processes and controls implemented to address cyber security risks.</w:t>
      </w:r>
    </w:p>
    <w:p w:rsidR="000906D7" w:rsidRPr="00613D2D" w:rsidRDefault="00613D2D" w:rsidP="00613D2D">
      <w:pPr>
        <w:jc w:val="both"/>
      </w:pPr>
      <w:r>
        <w:t>» Tested source data of the reports used to generate disclosures for accuracy and completeness.</w:t>
      </w:r>
    </w:p>
    <w:p w:rsidR="00C9417B" w:rsidRDefault="00C9417B" w:rsidP="000906D7">
      <w:pPr>
        <w:jc w:val="both"/>
        <w:rPr>
          <w:b/>
          <w:bCs/>
        </w:rPr>
      </w:pPr>
    </w:p>
    <w:p w:rsidR="000906D7" w:rsidRPr="0095763B" w:rsidRDefault="000906D7" w:rsidP="000906D7">
      <w:pPr>
        <w:jc w:val="both"/>
        <w:rPr>
          <w:b/>
          <w:bCs/>
        </w:rPr>
      </w:pPr>
      <w:r w:rsidRPr="0095763B">
        <w:rPr>
          <w:b/>
          <w:bCs/>
        </w:rPr>
        <w:t>1.4 Other information included in the Company’s 2024 Annual Report</w:t>
      </w:r>
    </w:p>
    <w:p w:rsidR="000906D7" w:rsidRDefault="000906D7" w:rsidP="000906D7">
      <w:pPr>
        <w:jc w:val="both"/>
      </w:pPr>
      <w:r>
        <w:t>Other information consists of the information included in the Company’s 2024 Annual Report, other than the financial statements and my auditor’s report thereon. Management is responsible for the other information. The Company’s 2024 Annual Report is expected to be made available to me after the date of this auditor’s report.</w:t>
      </w:r>
    </w:p>
    <w:p w:rsidR="000906D7" w:rsidRDefault="000906D7" w:rsidP="000906D7">
      <w:pPr>
        <w:jc w:val="both"/>
      </w:pPr>
      <w:r>
        <w:t>My opinion on the financial statements does not cover the other information and I do not express any form of assurance conclusion thereon.</w:t>
      </w:r>
    </w:p>
    <w:p w:rsidR="000906D7" w:rsidRDefault="000906D7" w:rsidP="000906D7">
      <w:pPr>
        <w:jc w:val="both"/>
      </w:pPr>
      <w:r>
        <w:lastRenderedPageBreak/>
        <w:t>In connection with my audit of the financial statements, my responsibility is to read the other information identified above when it becomes available and, in doing so, consider whether the other information is materially inconsistent with the financial statements or my knowledge obtained in the audit or otherwise appears to be materially misstated.</w:t>
      </w:r>
    </w:p>
    <w:p w:rsidR="000906D7" w:rsidRDefault="000906D7" w:rsidP="000906D7">
      <w:pPr>
        <w:jc w:val="both"/>
      </w:pPr>
      <w:r>
        <w:t>When I read the Company’s 2024 Annual Report, if I conclude that there are material misstatements therein, I am required to communicate that matter to those charged with governance for correction. If further material uncorrected misstatements are existed those will be included in my report to Parliament in pursuance of provisions in Article 154(6) of the Constitution that will be tabled in due course.</w:t>
      </w:r>
    </w:p>
    <w:p w:rsidR="000906D7" w:rsidRDefault="000906D7" w:rsidP="000906D7">
      <w:pPr>
        <w:jc w:val="both"/>
      </w:pPr>
    </w:p>
    <w:p w:rsidR="000906D7" w:rsidRPr="0095763B" w:rsidRDefault="000906D7" w:rsidP="000906D7">
      <w:pPr>
        <w:jc w:val="both"/>
        <w:rPr>
          <w:b/>
          <w:bCs/>
        </w:rPr>
      </w:pPr>
      <w:r w:rsidRPr="0095763B">
        <w:rPr>
          <w:b/>
          <w:bCs/>
        </w:rPr>
        <w:t>1.5 Responsibilities of Management and Those Charged with Governance for the Financial Statements</w:t>
      </w:r>
    </w:p>
    <w:p w:rsidR="000906D7" w:rsidRPr="0095763B" w:rsidRDefault="000906D7" w:rsidP="000906D7">
      <w:pPr>
        <w:jc w:val="both"/>
        <w:rPr>
          <w:b/>
          <w:bCs/>
        </w:rPr>
      </w:pPr>
    </w:p>
    <w:p w:rsidR="000906D7" w:rsidRDefault="000906D7" w:rsidP="000906D7">
      <w:pPr>
        <w:jc w:val="both"/>
      </w:pPr>
      <w:r>
        <w:t>Management is responsible for the preparation of financial statements that give a true and fair view in accordance with Sri Lanka Accounting Standards, and for such internal control as management determines is necessary to enable the preparation of financial statements that are free from material misstatement, whether due to fraud or error.</w:t>
      </w:r>
    </w:p>
    <w:p w:rsidR="000906D7" w:rsidRDefault="000906D7" w:rsidP="000906D7">
      <w:pPr>
        <w:jc w:val="both"/>
      </w:pPr>
      <w:r>
        <w:t>In preparing the financial statements, management is responsible for assessing the Group’s ability to continue as a going concern, disclosing, as applicable, matters related to going concern and using the going concern basis of accounting unless management either intends to liquidate the Group or to cease operations, or has no realistic alternative but to do so.</w:t>
      </w:r>
    </w:p>
    <w:p w:rsidR="000906D7" w:rsidRDefault="000906D7" w:rsidP="000906D7">
      <w:pPr>
        <w:jc w:val="both"/>
      </w:pPr>
      <w:r>
        <w:t>Those charged with governance are responsible for overseeing the Company’s and the Group’s financial reporting process.</w:t>
      </w:r>
    </w:p>
    <w:p w:rsidR="000906D7" w:rsidRDefault="000906D7" w:rsidP="000906D7">
      <w:pPr>
        <w:jc w:val="both"/>
      </w:pPr>
      <w:r>
        <w:t xml:space="preserve">As per Section 16(1) of the National Audit Act No. 19 of 2018, the Group is required to maintain proper books and records of all its income, expenditure, assets and liabilities, to enable annual and periodic financial statements to be prepared of the Group. </w:t>
      </w:r>
    </w:p>
    <w:p w:rsidR="0095763B" w:rsidRDefault="0095763B" w:rsidP="000906D7">
      <w:pPr>
        <w:jc w:val="both"/>
      </w:pPr>
    </w:p>
    <w:p w:rsidR="000906D7" w:rsidRPr="0095763B" w:rsidRDefault="000906D7" w:rsidP="000906D7">
      <w:pPr>
        <w:jc w:val="both"/>
        <w:rPr>
          <w:b/>
          <w:bCs/>
        </w:rPr>
      </w:pPr>
      <w:r w:rsidRPr="0095763B">
        <w:rPr>
          <w:b/>
          <w:bCs/>
        </w:rPr>
        <w:t xml:space="preserve">1.6 </w:t>
      </w:r>
      <w:proofErr w:type="spellStart"/>
      <w:r w:rsidRPr="0095763B">
        <w:rPr>
          <w:b/>
          <w:bCs/>
        </w:rPr>
        <w:t>Auditors's</w:t>
      </w:r>
      <w:proofErr w:type="spellEnd"/>
      <w:r w:rsidRPr="0095763B">
        <w:rPr>
          <w:b/>
          <w:bCs/>
        </w:rPr>
        <w:t xml:space="preserve"> Responsibilities for the Audit of the Financial Statements</w:t>
      </w:r>
    </w:p>
    <w:p w:rsidR="000906D7" w:rsidRDefault="000906D7" w:rsidP="000906D7">
      <w:pPr>
        <w:jc w:val="both"/>
      </w:pPr>
    </w:p>
    <w:p w:rsidR="000906D7" w:rsidRDefault="000906D7" w:rsidP="000906D7">
      <w:pPr>
        <w:jc w:val="both"/>
      </w:pPr>
      <w:r>
        <w:t xml:space="preserve">My objective is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Sri Lanka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rsidR="000906D7" w:rsidRDefault="000906D7" w:rsidP="000906D7">
      <w:pPr>
        <w:jc w:val="both"/>
      </w:pPr>
      <w:r>
        <w:t>As part of an audit in accordance with Sri Lanka Auditing Standards, I exercise professional judgment and maintain professional skepticism throughout the audit. I also:</w:t>
      </w:r>
    </w:p>
    <w:p w:rsidR="000906D7" w:rsidRDefault="000906D7" w:rsidP="000906D7">
      <w:pPr>
        <w:jc w:val="both"/>
      </w:pPr>
    </w:p>
    <w:p w:rsidR="000906D7" w:rsidRDefault="000906D7" w:rsidP="000906D7">
      <w:pPr>
        <w:jc w:val="both"/>
      </w:pPr>
      <w:r>
        <w:lastRenderedPageBreak/>
        <w:t>» Identify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rsidR="000906D7" w:rsidRDefault="000906D7" w:rsidP="000906D7">
      <w:pPr>
        <w:jc w:val="both"/>
      </w:pPr>
      <w:r>
        <w:t>» Obtain an understanding of internal control relevant to the audit in order to design audit procedures that are appropriate in the circumstances, but not for the purpose of expressing an opinion on the effectiveness of the internal controls of the Company and the Group.</w:t>
      </w:r>
    </w:p>
    <w:p w:rsidR="000906D7" w:rsidRDefault="000906D7" w:rsidP="000906D7">
      <w:pPr>
        <w:jc w:val="both"/>
      </w:pPr>
      <w:r>
        <w:t>» Evaluate the appropriateness of accounting policies used and the reasonableness of accounting estimates and related disclosures made by the management.</w:t>
      </w:r>
    </w:p>
    <w:p w:rsidR="000906D7" w:rsidRDefault="000906D7" w:rsidP="000906D7">
      <w:pPr>
        <w:jc w:val="both"/>
      </w:pPr>
      <w:r>
        <w:t>» Conclude on the appropriateness of the management’s use of the going concern basis of accounting and based on the audit evidence obtained, whether a material uncertainty exists related to events or conditions that may cast significant doubt on the Group’s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Group to cease to continue as a going concern.</w:t>
      </w:r>
    </w:p>
    <w:p w:rsidR="000906D7" w:rsidRDefault="000906D7" w:rsidP="000906D7">
      <w:pPr>
        <w:jc w:val="both"/>
      </w:pPr>
      <w:r>
        <w:t>» Evaluate the overall presentation, structure and content of the financial statements, including the disclosures, and whether the financial statements represent the underlying transactions and events in a manner that achieves fair presentation.</w:t>
      </w:r>
    </w:p>
    <w:p w:rsidR="000906D7" w:rsidRDefault="000906D7" w:rsidP="000906D7">
      <w:pPr>
        <w:jc w:val="both"/>
      </w:pPr>
      <w:r>
        <w:t>» Obtain sufficient appropriate audit evidence regarding the financial information of the entities or business activities within the Group to express an opinion on the consolidated financial statements. I am responsible for the direction, supervision and performance of the group audit. I remain solely responsible for my audit opinion.</w:t>
      </w:r>
    </w:p>
    <w:p w:rsidR="000906D7" w:rsidRDefault="000906D7" w:rsidP="000906D7">
      <w:pPr>
        <w:jc w:val="both"/>
      </w:pPr>
    </w:p>
    <w:p w:rsidR="000906D7" w:rsidRDefault="000906D7" w:rsidP="000906D7">
      <w:pPr>
        <w:jc w:val="both"/>
      </w:pPr>
      <w:r>
        <w:t>I communicate with those charged with governance regarding, among other matters, the planned scope and timing of the audit and significant audit findings, including any significant deficiencies in internal control that I identify during my audit.</w:t>
      </w:r>
    </w:p>
    <w:p w:rsidR="000906D7" w:rsidRDefault="000906D7" w:rsidP="000906D7">
      <w:pPr>
        <w:jc w:val="both"/>
      </w:pPr>
    </w:p>
    <w:p w:rsidR="000906D7" w:rsidRPr="0095763B" w:rsidRDefault="000906D7" w:rsidP="000906D7">
      <w:pPr>
        <w:jc w:val="both"/>
        <w:rPr>
          <w:b/>
          <w:bCs/>
        </w:rPr>
      </w:pPr>
      <w:r w:rsidRPr="0095763B">
        <w:rPr>
          <w:b/>
          <w:bCs/>
        </w:rPr>
        <w:t>2. REPORT ON OTHER LEGAL AND REGULATORY REQUIREMENTS</w:t>
      </w:r>
    </w:p>
    <w:p w:rsidR="000906D7" w:rsidRDefault="000906D7" w:rsidP="000906D7">
      <w:pPr>
        <w:jc w:val="both"/>
      </w:pPr>
    </w:p>
    <w:p w:rsidR="000906D7" w:rsidRPr="0095763B" w:rsidRDefault="000906D7" w:rsidP="000906D7">
      <w:pPr>
        <w:jc w:val="both"/>
        <w:rPr>
          <w:b/>
          <w:bCs/>
        </w:rPr>
      </w:pPr>
      <w:r w:rsidRPr="0095763B">
        <w:rPr>
          <w:b/>
          <w:bCs/>
        </w:rPr>
        <w:t>2.1 National Audit Act, No. 19 of 2018 and Companies Act, No.7 of 2007 includes specific provisions for following requirements.</w:t>
      </w:r>
    </w:p>
    <w:p w:rsidR="000906D7" w:rsidRDefault="000906D7" w:rsidP="000906D7">
      <w:pPr>
        <w:jc w:val="both"/>
      </w:pPr>
    </w:p>
    <w:p w:rsidR="000906D7" w:rsidRDefault="000906D7" w:rsidP="000906D7">
      <w:pPr>
        <w:jc w:val="both"/>
      </w:pPr>
      <w:r>
        <w:t xml:space="preserve">2.1.1 I have obtained all the information and explanation that required for the audit and as far as appears from my examination, proper accounting records have been kept by the Company as per the requirement </w:t>
      </w:r>
      <w:r>
        <w:lastRenderedPageBreak/>
        <w:t>of section 163 (2) (d) of the Companies Act, No.7 of 2007 and section 12 (a) of National Audit Act, No. 19 of 2018.</w:t>
      </w:r>
    </w:p>
    <w:p w:rsidR="000906D7" w:rsidRDefault="000906D7" w:rsidP="000906D7">
      <w:pPr>
        <w:jc w:val="both"/>
      </w:pPr>
      <w:r>
        <w:t>2.1.2 The Financial Statements of the Company comply with the requirement of section 151 of the Companies Act, No.07 of 2007.</w:t>
      </w:r>
    </w:p>
    <w:p w:rsidR="000906D7" w:rsidRDefault="000906D7" w:rsidP="000906D7">
      <w:pPr>
        <w:jc w:val="both"/>
      </w:pPr>
      <w:r>
        <w:t>2.1.3 The Financial Statements presented is consistent with the preceding year as per the requirement of section 6 (1) (d) (iii) of the National Audit Act, No. 19 of 2018.</w:t>
      </w:r>
    </w:p>
    <w:p w:rsidR="000906D7" w:rsidRDefault="000906D7" w:rsidP="000906D7">
      <w:pPr>
        <w:jc w:val="both"/>
      </w:pPr>
      <w:r>
        <w:t>2.1.4 The Financial Statements presented includes all the recommendations made by me in the previous year as per the requirement of section 6 (1) (d) (</w:t>
      </w:r>
      <w:proofErr w:type="gramStart"/>
      <w:r>
        <w:t>iv</w:t>
      </w:r>
      <w:proofErr w:type="gramEnd"/>
      <w:r>
        <w:t>) of the National Audit Act, No. 19 of 2018.</w:t>
      </w:r>
    </w:p>
    <w:p w:rsidR="000906D7" w:rsidRDefault="000906D7" w:rsidP="000906D7">
      <w:pPr>
        <w:jc w:val="both"/>
      </w:pPr>
    </w:p>
    <w:p w:rsidR="000906D7" w:rsidRDefault="000906D7" w:rsidP="000906D7">
      <w:pPr>
        <w:jc w:val="both"/>
      </w:pPr>
      <w:r>
        <w:t>2.2 Based on the procedures performed and evidence obtained were limited to matters that are material, nothing has come to my attention;</w:t>
      </w:r>
    </w:p>
    <w:p w:rsidR="000906D7" w:rsidRDefault="000906D7" w:rsidP="000906D7">
      <w:pPr>
        <w:jc w:val="both"/>
      </w:pPr>
    </w:p>
    <w:p w:rsidR="000906D7" w:rsidRDefault="000906D7" w:rsidP="000906D7">
      <w:pPr>
        <w:jc w:val="both"/>
      </w:pPr>
      <w:r>
        <w:t>2.2.1 to state that any member of the governing body of the Company has any direct or indirect interest in any contract entered into by the Company which are out of the normal course of business as per the requirement of section 12 (d) of the National Audit Act, No. 19 of 2018;</w:t>
      </w:r>
    </w:p>
    <w:p w:rsidR="000906D7" w:rsidRDefault="000906D7" w:rsidP="000906D7">
      <w:pPr>
        <w:jc w:val="both"/>
      </w:pPr>
    </w:p>
    <w:p w:rsidR="000906D7" w:rsidRDefault="000906D7" w:rsidP="000906D7">
      <w:pPr>
        <w:jc w:val="both"/>
      </w:pPr>
      <w:r>
        <w:t xml:space="preserve">2.2.2 </w:t>
      </w:r>
      <w:proofErr w:type="gramStart"/>
      <w:r>
        <w:t>to</w:t>
      </w:r>
      <w:proofErr w:type="gramEnd"/>
      <w:r>
        <w:t xml:space="preserve"> state that the Company has not complied with any applicable written law, general and special directions issued by the governing body of the Company as per the requirement of section 12 (f) of the National Audit Act, No. 19 of 2018;</w:t>
      </w:r>
    </w:p>
    <w:p w:rsidR="000906D7" w:rsidRDefault="000906D7" w:rsidP="000906D7">
      <w:pPr>
        <w:jc w:val="both"/>
      </w:pPr>
    </w:p>
    <w:p w:rsidR="000906D7" w:rsidRDefault="000906D7" w:rsidP="000906D7">
      <w:pPr>
        <w:jc w:val="both"/>
      </w:pPr>
      <w:r>
        <w:t xml:space="preserve">2.2.3 </w:t>
      </w:r>
      <w:proofErr w:type="gramStart"/>
      <w:r>
        <w:t>to</w:t>
      </w:r>
      <w:proofErr w:type="gramEnd"/>
      <w:r>
        <w:t xml:space="preserve"> state that the Company has not performed according to its powers, functions and duties as per the requirement of section 12 (g) of the National Audit Act, No. 19 of 2018;</w:t>
      </w:r>
    </w:p>
    <w:p w:rsidR="000906D7" w:rsidRDefault="000906D7" w:rsidP="000906D7">
      <w:pPr>
        <w:jc w:val="both"/>
      </w:pPr>
    </w:p>
    <w:p w:rsidR="000906D7" w:rsidRDefault="000906D7" w:rsidP="000906D7">
      <w:pPr>
        <w:jc w:val="both"/>
      </w:pPr>
      <w:r>
        <w:t>2.2.4 to state that the resources of the Company had not been procured and utilized economically, efficiently and effectively within the time frames and in compliance with the applicable laws as per the requirement of section 12 (h) of the National Audit Act, No. 19 of 2018.</w:t>
      </w:r>
    </w:p>
    <w:p w:rsidR="000906D7" w:rsidRDefault="000906D7" w:rsidP="000906D7">
      <w:pPr>
        <w:jc w:val="both"/>
      </w:pPr>
    </w:p>
    <w:p w:rsidR="00C9417B" w:rsidRDefault="00C9417B" w:rsidP="000906D7">
      <w:pPr>
        <w:jc w:val="both"/>
      </w:pPr>
    </w:p>
    <w:p w:rsidR="000906D7" w:rsidRDefault="000906D7" w:rsidP="000906D7">
      <w:pPr>
        <w:jc w:val="both"/>
      </w:pPr>
      <w:r>
        <w:t xml:space="preserve">W.P.C. Wickramaratne </w:t>
      </w:r>
    </w:p>
    <w:p w:rsidR="000906D7" w:rsidRDefault="000906D7" w:rsidP="000906D7">
      <w:pPr>
        <w:jc w:val="both"/>
      </w:pPr>
      <w:r>
        <w:t>Auditor General</w:t>
      </w:r>
    </w:p>
    <w:p w:rsidR="000906D7" w:rsidRDefault="000906D7" w:rsidP="000906D7"/>
    <w:p w:rsidR="0095763B" w:rsidRDefault="0095763B" w:rsidP="000906D7"/>
    <w:p w:rsidR="0095763B" w:rsidRDefault="0095763B" w:rsidP="000906D7"/>
    <w:p w:rsidR="0095763B" w:rsidRDefault="0095763B" w:rsidP="000906D7"/>
    <w:p w:rsidR="0095763B" w:rsidRDefault="0095763B" w:rsidP="000906D7"/>
    <w:tbl>
      <w:tblPr>
        <w:tblStyle w:val="TableGrid"/>
        <w:tblpPr w:leftFromText="180" w:rightFromText="180" w:vertAnchor="text" w:horzAnchor="margin" w:tblpY="-34"/>
        <w:tblW w:w="0" w:type="auto"/>
        <w:tblLook w:val="04A0" w:firstRow="1" w:lastRow="0" w:firstColumn="1" w:lastColumn="0" w:noHBand="0" w:noVBand="1"/>
      </w:tblPr>
      <w:tblGrid>
        <w:gridCol w:w="3566"/>
        <w:gridCol w:w="1522"/>
        <w:gridCol w:w="1425"/>
        <w:gridCol w:w="1451"/>
        <w:gridCol w:w="1386"/>
      </w:tblGrid>
      <w:tr w:rsidR="00C9417B" w:rsidRPr="000906D7" w:rsidTr="00C9417B">
        <w:trPr>
          <w:trHeight w:val="312"/>
        </w:trPr>
        <w:tc>
          <w:tcPr>
            <w:tcW w:w="9350" w:type="dxa"/>
            <w:gridSpan w:val="5"/>
            <w:noWrap/>
            <w:hideMark/>
          </w:tcPr>
          <w:p w:rsidR="00C9417B" w:rsidRPr="000906D7" w:rsidRDefault="00C9417B" w:rsidP="00C9417B">
            <w:pPr>
              <w:rPr>
                <w:b/>
                <w:bCs/>
              </w:rPr>
            </w:pPr>
            <w:r w:rsidRPr="000906D7">
              <w:rPr>
                <w:b/>
                <w:bCs/>
              </w:rPr>
              <w:t>People's Leasing &amp; Finance PLC</w:t>
            </w:r>
          </w:p>
        </w:tc>
      </w:tr>
      <w:tr w:rsidR="00C9417B" w:rsidRPr="000906D7" w:rsidTr="00C9417B">
        <w:trPr>
          <w:trHeight w:val="312"/>
        </w:trPr>
        <w:tc>
          <w:tcPr>
            <w:tcW w:w="9350" w:type="dxa"/>
            <w:gridSpan w:val="5"/>
            <w:noWrap/>
            <w:hideMark/>
          </w:tcPr>
          <w:p w:rsidR="00C9417B" w:rsidRPr="000906D7" w:rsidRDefault="00C9417B" w:rsidP="00C9417B">
            <w:pPr>
              <w:rPr>
                <w:b/>
                <w:bCs/>
              </w:rPr>
            </w:pPr>
            <w:r w:rsidRPr="000906D7">
              <w:rPr>
                <w:b/>
                <w:bCs/>
              </w:rPr>
              <w:t>KEY FINANCIAL DATA AS AT 31ST MARCH 2024 (AUDITED)</w:t>
            </w:r>
          </w:p>
        </w:tc>
      </w:tr>
      <w:tr w:rsidR="00C9417B" w:rsidRPr="000906D7" w:rsidTr="00C9417B">
        <w:trPr>
          <w:trHeight w:val="312"/>
        </w:trPr>
        <w:tc>
          <w:tcPr>
            <w:tcW w:w="3566" w:type="dxa"/>
            <w:vMerge w:val="restart"/>
            <w:noWrap/>
            <w:hideMark/>
          </w:tcPr>
          <w:p w:rsidR="00C9417B" w:rsidRPr="000906D7" w:rsidRDefault="00C9417B" w:rsidP="00C9417B">
            <w:pPr>
              <w:rPr>
                <w:b/>
                <w:bCs/>
              </w:rPr>
            </w:pPr>
            <w:r w:rsidRPr="000906D7">
              <w:rPr>
                <w:b/>
                <w:bCs/>
              </w:rPr>
              <w:t>In Rupees Million</w:t>
            </w:r>
          </w:p>
        </w:tc>
        <w:tc>
          <w:tcPr>
            <w:tcW w:w="2947" w:type="dxa"/>
            <w:gridSpan w:val="2"/>
            <w:noWrap/>
            <w:hideMark/>
          </w:tcPr>
          <w:p w:rsidR="00C9417B" w:rsidRPr="000906D7" w:rsidRDefault="00C9417B" w:rsidP="00C9417B">
            <w:pPr>
              <w:jc w:val="center"/>
              <w:rPr>
                <w:b/>
                <w:bCs/>
              </w:rPr>
            </w:pPr>
            <w:r w:rsidRPr="000906D7">
              <w:rPr>
                <w:b/>
                <w:bCs/>
              </w:rPr>
              <w:t>Company</w:t>
            </w:r>
          </w:p>
        </w:tc>
        <w:tc>
          <w:tcPr>
            <w:tcW w:w="2837" w:type="dxa"/>
            <w:gridSpan w:val="2"/>
            <w:noWrap/>
            <w:hideMark/>
          </w:tcPr>
          <w:p w:rsidR="00C9417B" w:rsidRPr="000906D7" w:rsidRDefault="00C9417B" w:rsidP="00C9417B">
            <w:pPr>
              <w:jc w:val="center"/>
              <w:rPr>
                <w:b/>
                <w:bCs/>
              </w:rPr>
            </w:pPr>
            <w:r w:rsidRPr="000906D7">
              <w:rPr>
                <w:b/>
                <w:bCs/>
              </w:rPr>
              <w:t>Group</w:t>
            </w:r>
          </w:p>
        </w:tc>
      </w:tr>
      <w:tr w:rsidR="00C9417B" w:rsidRPr="000906D7" w:rsidTr="00C9417B">
        <w:trPr>
          <w:trHeight w:val="312"/>
        </w:trPr>
        <w:tc>
          <w:tcPr>
            <w:tcW w:w="3566" w:type="dxa"/>
            <w:vMerge/>
            <w:hideMark/>
          </w:tcPr>
          <w:p w:rsidR="00C9417B" w:rsidRPr="000906D7" w:rsidRDefault="00C9417B" w:rsidP="00C9417B">
            <w:pPr>
              <w:rPr>
                <w:b/>
                <w:bCs/>
              </w:rPr>
            </w:pPr>
          </w:p>
        </w:tc>
        <w:tc>
          <w:tcPr>
            <w:tcW w:w="1522" w:type="dxa"/>
            <w:noWrap/>
            <w:hideMark/>
          </w:tcPr>
          <w:p w:rsidR="00C9417B" w:rsidRPr="000906D7" w:rsidRDefault="00C9417B" w:rsidP="00C9417B">
            <w:pPr>
              <w:jc w:val="right"/>
              <w:rPr>
                <w:b/>
                <w:bCs/>
              </w:rPr>
            </w:pPr>
            <w:r w:rsidRPr="000906D7">
              <w:rPr>
                <w:b/>
                <w:bCs/>
              </w:rPr>
              <w:t>Current Period</w:t>
            </w:r>
          </w:p>
        </w:tc>
        <w:tc>
          <w:tcPr>
            <w:tcW w:w="1425" w:type="dxa"/>
            <w:noWrap/>
            <w:hideMark/>
          </w:tcPr>
          <w:p w:rsidR="00C9417B" w:rsidRPr="000906D7" w:rsidRDefault="00C9417B" w:rsidP="00C9417B">
            <w:pPr>
              <w:jc w:val="right"/>
            </w:pPr>
            <w:r w:rsidRPr="000906D7">
              <w:t>Previous Period</w:t>
            </w:r>
          </w:p>
        </w:tc>
        <w:tc>
          <w:tcPr>
            <w:tcW w:w="1451" w:type="dxa"/>
            <w:noWrap/>
            <w:hideMark/>
          </w:tcPr>
          <w:p w:rsidR="00C9417B" w:rsidRPr="000906D7" w:rsidRDefault="00C9417B" w:rsidP="00C9417B">
            <w:pPr>
              <w:jc w:val="right"/>
              <w:rPr>
                <w:b/>
                <w:bCs/>
              </w:rPr>
            </w:pPr>
            <w:r w:rsidRPr="000906D7">
              <w:rPr>
                <w:b/>
                <w:bCs/>
              </w:rPr>
              <w:t>Current Period</w:t>
            </w:r>
          </w:p>
        </w:tc>
        <w:tc>
          <w:tcPr>
            <w:tcW w:w="1386" w:type="dxa"/>
            <w:noWrap/>
            <w:hideMark/>
          </w:tcPr>
          <w:p w:rsidR="00C9417B" w:rsidRPr="000906D7" w:rsidRDefault="00C9417B" w:rsidP="00C9417B">
            <w:pPr>
              <w:jc w:val="right"/>
            </w:pPr>
            <w:r w:rsidRPr="000906D7">
              <w:t>Previous Period</w:t>
            </w:r>
          </w:p>
        </w:tc>
      </w:tr>
      <w:tr w:rsidR="00C9417B" w:rsidRPr="000906D7" w:rsidTr="00C9417B">
        <w:trPr>
          <w:trHeight w:val="624"/>
        </w:trPr>
        <w:tc>
          <w:tcPr>
            <w:tcW w:w="3566" w:type="dxa"/>
            <w:noWrap/>
            <w:hideMark/>
          </w:tcPr>
          <w:p w:rsidR="00C9417B" w:rsidRPr="000906D7" w:rsidRDefault="00C9417B" w:rsidP="00C9417B">
            <w:r w:rsidRPr="000906D7">
              <w:t> </w:t>
            </w:r>
          </w:p>
        </w:tc>
        <w:tc>
          <w:tcPr>
            <w:tcW w:w="1522" w:type="dxa"/>
            <w:hideMark/>
          </w:tcPr>
          <w:p w:rsidR="00C9417B" w:rsidRPr="000906D7" w:rsidRDefault="00C9417B" w:rsidP="00C9417B">
            <w:pPr>
              <w:jc w:val="right"/>
              <w:rPr>
                <w:b/>
                <w:bCs/>
              </w:rPr>
            </w:pPr>
            <w:r w:rsidRPr="000906D7">
              <w:rPr>
                <w:b/>
                <w:bCs/>
              </w:rPr>
              <w:t>From 01/04/2023 to 31/03/2024</w:t>
            </w:r>
          </w:p>
        </w:tc>
        <w:tc>
          <w:tcPr>
            <w:tcW w:w="1425" w:type="dxa"/>
            <w:hideMark/>
          </w:tcPr>
          <w:p w:rsidR="00C9417B" w:rsidRPr="000906D7" w:rsidRDefault="00C9417B" w:rsidP="00C9417B">
            <w:pPr>
              <w:jc w:val="right"/>
            </w:pPr>
            <w:r w:rsidRPr="000906D7">
              <w:t>From 01/04/2022 to 31/03/2023</w:t>
            </w:r>
          </w:p>
        </w:tc>
        <w:tc>
          <w:tcPr>
            <w:tcW w:w="1451" w:type="dxa"/>
            <w:hideMark/>
          </w:tcPr>
          <w:p w:rsidR="00C9417B" w:rsidRPr="000906D7" w:rsidRDefault="00C9417B" w:rsidP="00C9417B">
            <w:pPr>
              <w:jc w:val="right"/>
              <w:rPr>
                <w:b/>
                <w:bCs/>
              </w:rPr>
            </w:pPr>
            <w:r w:rsidRPr="000906D7">
              <w:rPr>
                <w:b/>
                <w:bCs/>
              </w:rPr>
              <w:t>From 01/04/2023 to 31/03/2024</w:t>
            </w:r>
          </w:p>
        </w:tc>
        <w:tc>
          <w:tcPr>
            <w:tcW w:w="1386" w:type="dxa"/>
            <w:hideMark/>
          </w:tcPr>
          <w:p w:rsidR="00C9417B" w:rsidRPr="000906D7" w:rsidRDefault="00C9417B" w:rsidP="00C9417B">
            <w:pPr>
              <w:jc w:val="right"/>
            </w:pPr>
            <w:r w:rsidRPr="000906D7">
              <w:t>From 01/04/2022 to 31/03/2023</w:t>
            </w:r>
          </w:p>
        </w:tc>
      </w:tr>
      <w:tr w:rsidR="00C9417B" w:rsidRPr="000906D7" w:rsidTr="00C9417B">
        <w:trPr>
          <w:trHeight w:val="312"/>
        </w:trPr>
        <w:tc>
          <w:tcPr>
            <w:tcW w:w="3566" w:type="dxa"/>
            <w:noWrap/>
            <w:hideMark/>
          </w:tcPr>
          <w:p w:rsidR="00C9417B" w:rsidRPr="000906D7" w:rsidRDefault="00C9417B" w:rsidP="00C9417B">
            <w:r w:rsidRPr="000906D7">
              <w:t>Interest income</w:t>
            </w:r>
          </w:p>
        </w:tc>
        <w:tc>
          <w:tcPr>
            <w:tcW w:w="1522" w:type="dxa"/>
            <w:noWrap/>
            <w:hideMark/>
          </w:tcPr>
          <w:p w:rsidR="00C9417B" w:rsidRPr="000906D7" w:rsidRDefault="00C9417B" w:rsidP="00C9417B">
            <w:pPr>
              <w:jc w:val="right"/>
              <w:rPr>
                <w:b/>
                <w:bCs/>
              </w:rPr>
            </w:pPr>
            <w:r w:rsidRPr="000906D7">
              <w:rPr>
                <w:b/>
                <w:bCs/>
              </w:rPr>
              <w:t xml:space="preserve">                        28,853 </w:t>
            </w:r>
          </w:p>
        </w:tc>
        <w:tc>
          <w:tcPr>
            <w:tcW w:w="1425" w:type="dxa"/>
            <w:noWrap/>
            <w:hideMark/>
          </w:tcPr>
          <w:p w:rsidR="00C9417B" w:rsidRPr="000906D7" w:rsidRDefault="00C9417B" w:rsidP="00C9417B">
            <w:pPr>
              <w:jc w:val="right"/>
            </w:pPr>
            <w:r w:rsidRPr="000906D7">
              <w:t xml:space="preserve">                      30,197 </w:t>
            </w:r>
          </w:p>
        </w:tc>
        <w:tc>
          <w:tcPr>
            <w:tcW w:w="1451" w:type="dxa"/>
            <w:noWrap/>
            <w:hideMark/>
          </w:tcPr>
          <w:p w:rsidR="00C9417B" w:rsidRPr="000906D7" w:rsidRDefault="00C9417B" w:rsidP="00C9417B">
            <w:pPr>
              <w:jc w:val="right"/>
              <w:rPr>
                <w:b/>
                <w:bCs/>
              </w:rPr>
            </w:pPr>
            <w:r w:rsidRPr="000906D7">
              <w:rPr>
                <w:b/>
                <w:bCs/>
              </w:rPr>
              <w:t xml:space="preserve">                      32,217 </w:t>
            </w:r>
          </w:p>
        </w:tc>
        <w:tc>
          <w:tcPr>
            <w:tcW w:w="1386" w:type="dxa"/>
            <w:noWrap/>
            <w:hideMark/>
          </w:tcPr>
          <w:p w:rsidR="00C9417B" w:rsidRPr="000906D7" w:rsidRDefault="00C9417B" w:rsidP="00C9417B">
            <w:pPr>
              <w:jc w:val="right"/>
            </w:pPr>
            <w:r w:rsidRPr="000906D7">
              <w:t xml:space="preserve">                     33,407 </w:t>
            </w:r>
          </w:p>
        </w:tc>
      </w:tr>
      <w:tr w:rsidR="00C9417B" w:rsidRPr="000906D7" w:rsidTr="00C9417B">
        <w:trPr>
          <w:trHeight w:val="324"/>
        </w:trPr>
        <w:tc>
          <w:tcPr>
            <w:tcW w:w="3566" w:type="dxa"/>
            <w:noWrap/>
            <w:hideMark/>
          </w:tcPr>
          <w:p w:rsidR="00C9417B" w:rsidRPr="000906D7" w:rsidRDefault="00C9417B" w:rsidP="00C9417B">
            <w:r w:rsidRPr="000906D7">
              <w:t>Less: interest income</w:t>
            </w:r>
          </w:p>
        </w:tc>
        <w:tc>
          <w:tcPr>
            <w:tcW w:w="1522" w:type="dxa"/>
            <w:noWrap/>
            <w:hideMark/>
          </w:tcPr>
          <w:p w:rsidR="00C9417B" w:rsidRPr="000906D7" w:rsidRDefault="00C9417B" w:rsidP="00C9417B">
            <w:pPr>
              <w:jc w:val="right"/>
              <w:rPr>
                <w:b/>
                <w:bCs/>
              </w:rPr>
            </w:pPr>
            <w:r w:rsidRPr="000906D7">
              <w:rPr>
                <w:b/>
                <w:bCs/>
              </w:rPr>
              <w:t xml:space="preserve">                        17,201 </w:t>
            </w:r>
          </w:p>
        </w:tc>
        <w:tc>
          <w:tcPr>
            <w:tcW w:w="1425" w:type="dxa"/>
            <w:noWrap/>
            <w:hideMark/>
          </w:tcPr>
          <w:p w:rsidR="00C9417B" w:rsidRPr="000906D7" w:rsidRDefault="00C9417B" w:rsidP="00C9417B">
            <w:pPr>
              <w:jc w:val="right"/>
            </w:pPr>
            <w:r w:rsidRPr="000906D7">
              <w:t xml:space="preserve">                      18,207 </w:t>
            </w:r>
          </w:p>
        </w:tc>
        <w:tc>
          <w:tcPr>
            <w:tcW w:w="1451" w:type="dxa"/>
            <w:noWrap/>
            <w:hideMark/>
          </w:tcPr>
          <w:p w:rsidR="00C9417B" w:rsidRPr="000906D7" w:rsidRDefault="00C9417B" w:rsidP="00C9417B">
            <w:pPr>
              <w:jc w:val="right"/>
              <w:rPr>
                <w:b/>
                <w:bCs/>
              </w:rPr>
            </w:pPr>
            <w:r w:rsidRPr="000906D7">
              <w:rPr>
                <w:b/>
                <w:bCs/>
              </w:rPr>
              <w:t xml:space="preserve">                      18,267 </w:t>
            </w:r>
          </w:p>
        </w:tc>
        <w:tc>
          <w:tcPr>
            <w:tcW w:w="1386" w:type="dxa"/>
            <w:noWrap/>
            <w:hideMark/>
          </w:tcPr>
          <w:p w:rsidR="00C9417B" w:rsidRPr="000906D7" w:rsidRDefault="00C9417B" w:rsidP="00C9417B">
            <w:pPr>
              <w:jc w:val="right"/>
            </w:pPr>
            <w:r w:rsidRPr="000906D7">
              <w:t xml:space="preserve">                     19,270 </w:t>
            </w:r>
          </w:p>
        </w:tc>
      </w:tr>
      <w:tr w:rsidR="00C9417B" w:rsidRPr="000906D7" w:rsidTr="00C9417B">
        <w:trPr>
          <w:trHeight w:val="312"/>
        </w:trPr>
        <w:tc>
          <w:tcPr>
            <w:tcW w:w="3566" w:type="dxa"/>
            <w:noWrap/>
            <w:hideMark/>
          </w:tcPr>
          <w:p w:rsidR="00C9417B" w:rsidRPr="000906D7" w:rsidRDefault="00C9417B" w:rsidP="00C9417B">
            <w:pPr>
              <w:rPr>
                <w:b/>
                <w:bCs/>
              </w:rPr>
            </w:pPr>
            <w:r w:rsidRPr="000906D7">
              <w:rPr>
                <w:b/>
                <w:bCs/>
              </w:rPr>
              <w:t>Net interest income</w:t>
            </w:r>
          </w:p>
        </w:tc>
        <w:tc>
          <w:tcPr>
            <w:tcW w:w="1522" w:type="dxa"/>
            <w:noWrap/>
            <w:hideMark/>
          </w:tcPr>
          <w:p w:rsidR="00C9417B" w:rsidRPr="000906D7" w:rsidRDefault="00C9417B" w:rsidP="00C9417B">
            <w:pPr>
              <w:jc w:val="right"/>
              <w:rPr>
                <w:b/>
                <w:bCs/>
              </w:rPr>
            </w:pPr>
            <w:r w:rsidRPr="000906D7">
              <w:rPr>
                <w:b/>
                <w:bCs/>
              </w:rPr>
              <w:t xml:space="preserve">                        11,652 </w:t>
            </w:r>
          </w:p>
        </w:tc>
        <w:tc>
          <w:tcPr>
            <w:tcW w:w="1425" w:type="dxa"/>
            <w:noWrap/>
            <w:hideMark/>
          </w:tcPr>
          <w:p w:rsidR="00C9417B" w:rsidRPr="000906D7" w:rsidRDefault="00C9417B" w:rsidP="00C9417B">
            <w:pPr>
              <w:jc w:val="right"/>
            </w:pPr>
            <w:r w:rsidRPr="000906D7">
              <w:t xml:space="preserve">                      11,990 </w:t>
            </w:r>
          </w:p>
        </w:tc>
        <w:tc>
          <w:tcPr>
            <w:tcW w:w="1451" w:type="dxa"/>
            <w:noWrap/>
            <w:hideMark/>
          </w:tcPr>
          <w:p w:rsidR="00C9417B" w:rsidRPr="000906D7" w:rsidRDefault="00C9417B" w:rsidP="00C9417B">
            <w:pPr>
              <w:jc w:val="right"/>
              <w:rPr>
                <w:b/>
                <w:bCs/>
              </w:rPr>
            </w:pPr>
            <w:r w:rsidRPr="000906D7">
              <w:rPr>
                <w:b/>
                <w:bCs/>
              </w:rPr>
              <w:t xml:space="preserve">                      13,950 </w:t>
            </w:r>
          </w:p>
        </w:tc>
        <w:tc>
          <w:tcPr>
            <w:tcW w:w="1386" w:type="dxa"/>
            <w:noWrap/>
            <w:hideMark/>
          </w:tcPr>
          <w:p w:rsidR="00C9417B" w:rsidRPr="000906D7" w:rsidRDefault="00C9417B" w:rsidP="00C9417B">
            <w:pPr>
              <w:jc w:val="right"/>
            </w:pPr>
            <w:r w:rsidRPr="000906D7">
              <w:t xml:space="preserve">                     14,137 </w:t>
            </w:r>
          </w:p>
        </w:tc>
      </w:tr>
      <w:tr w:rsidR="00C9417B" w:rsidRPr="000906D7" w:rsidTr="00C9417B">
        <w:trPr>
          <w:trHeight w:val="312"/>
        </w:trPr>
        <w:tc>
          <w:tcPr>
            <w:tcW w:w="3566" w:type="dxa"/>
            <w:noWrap/>
            <w:hideMark/>
          </w:tcPr>
          <w:p w:rsidR="00C9417B" w:rsidRPr="000906D7" w:rsidRDefault="00C9417B" w:rsidP="00C9417B">
            <w:r w:rsidRPr="000906D7">
              <w:t>Gain/(Losses) from trading activities</w:t>
            </w:r>
          </w:p>
        </w:tc>
        <w:tc>
          <w:tcPr>
            <w:tcW w:w="1522" w:type="dxa"/>
            <w:noWrap/>
            <w:hideMark/>
          </w:tcPr>
          <w:p w:rsidR="00C9417B" w:rsidRPr="000906D7" w:rsidRDefault="00C9417B" w:rsidP="00C9417B">
            <w:pPr>
              <w:jc w:val="right"/>
              <w:rPr>
                <w:b/>
                <w:bCs/>
              </w:rPr>
            </w:pPr>
            <w:r w:rsidRPr="000906D7">
              <w:rPr>
                <w:b/>
                <w:bCs/>
              </w:rPr>
              <w:t xml:space="preserve">                             136 </w:t>
            </w:r>
          </w:p>
        </w:tc>
        <w:tc>
          <w:tcPr>
            <w:tcW w:w="1425" w:type="dxa"/>
            <w:noWrap/>
            <w:hideMark/>
          </w:tcPr>
          <w:p w:rsidR="00C9417B" w:rsidRPr="000906D7" w:rsidRDefault="00C9417B" w:rsidP="00C9417B">
            <w:pPr>
              <w:jc w:val="right"/>
            </w:pPr>
            <w:r w:rsidRPr="000906D7">
              <w:t xml:space="preserve">                               9 </w:t>
            </w:r>
          </w:p>
        </w:tc>
        <w:tc>
          <w:tcPr>
            <w:tcW w:w="1451" w:type="dxa"/>
            <w:noWrap/>
            <w:hideMark/>
          </w:tcPr>
          <w:p w:rsidR="00C9417B" w:rsidRPr="000906D7" w:rsidRDefault="00C9417B" w:rsidP="00C9417B">
            <w:pPr>
              <w:jc w:val="right"/>
              <w:rPr>
                <w:b/>
                <w:bCs/>
              </w:rPr>
            </w:pPr>
            <w:r w:rsidRPr="000906D7">
              <w:rPr>
                <w:b/>
                <w:bCs/>
              </w:rPr>
              <w:t xml:space="preserve">                           124 </w:t>
            </w:r>
          </w:p>
        </w:tc>
        <w:tc>
          <w:tcPr>
            <w:tcW w:w="1386" w:type="dxa"/>
            <w:noWrap/>
            <w:hideMark/>
          </w:tcPr>
          <w:p w:rsidR="00C9417B" w:rsidRPr="000906D7" w:rsidRDefault="00C9417B" w:rsidP="00C9417B">
            <w:pPr>
              <w:jc w:val="right"/>
            </w:pPr>
            <w:r w:rsidRPr="000906D7">
              <w:t xml:space="preserve">                              4 </w:t>
            </w:r>
          </w:p>
        </w:tc>
      </w:tr>
      <w:tr w:rsidR="00C9417B" w:rsidRPr="000906D7" w:rsidTr="00C9417B">
        <w:trPr>
          <w:trHeight w:val="312"/>
        </w:trPr>
        <w:tc>
          <w:tcPr>
            <w:tcW w:w="3566" w:type="dxa"/>
            <w:noWrap/>
            <w:hideMark/>
          </w:tcPr>
          <w:p w:rsidR="00C9417B" w:rsidRPr="000906D7" w:rsidRDefault="00C9417B" w:rsidP="00C9417B">
            <w:r w:rsidRPr="000906D7">
              <w:t>Other operating income</w:t>
            </w:r>
          </w:p>
        </w:tc>
        <w:tc>
          <w:tcPr>
            <w:tcW w:w="1522" w:type="dxa"/>
            <w:noWrap/>
            <w:hideMark/>
          </w:tcPr>
          <w:p w:rsidR="00C9417B" w:rsidRPr="000906D7" w:rsidRDefault="00C9417B" w:rsidP="00C9417B">
            <w:pPr>
              <w:jc w:val="right"/>
              <w:rPr>
                <w:b/>
                <w:bCs/>
              </w:rPr>
            </w:pPr>
            <w:r w:rsidRPr="000906D7">
              <w:rPr>
                <w:b/>
                <w:bCs/>
              </w:rPr>
              <w:t xml:space="preserve">                          2,047 </w:t>
            </w:r>
          </w:p>
        </w:tc>
        <w:tc>
          <w:tcPr>
            <w:tcW w:w="1425" w:type="dxa"/>
            <w:noWrap/>
            <w:hideMark/>
          </w:tcPr>
          <w:p w:rsidR="00C9417B" w:rsidRPr="000906D7" w:rsidRDefault="00C9417B" w:rsidP="00C9417B">
            <w:pPr>
              <w:jc w:val="right"/>
            </w:pPr>
            <w:r w:rsidRPr="000906D7">
              <w:t xml:space="preserve">                        1,812 </w:t>
            </w:r>
          </w:p>
        </w:tc>
        <w:tc>
          <w:tcPr>
            <w:tcW w:w="1451" w:type="dxa"/>
            <w:noWrap/>
            <w:hideMark/>
          </w:tcPr>
          <w:p w:rsidR="00C9417B" w:rsidRPr="000906D7" w:rsidRDefault="00C9417B" w:rsidP="00C9417B">
            <w:pPr>
              <w:jc w:val="right"/>
              <w:rPr>
                <w:b/>
                <w:bCs/>
              </w:rPr>
            </w:pPr>
            <w:r w:rsidRPr="000906D7">
              <w:rPr>
                <w:b/>
                <w:bCs/>
              </w:rPr>
              <w:t xml:space="preserve">                        5,212 </w:t>
            </w:r>
          </w:p>
        </w:tc>
        <w:tc>
          <w:tcPr>
            <w:tcW w:w="1386" w:type="dxa"/>
            <w:noWrap/>
            <w:hideMark/>
          </w:tcPr>
          <w:p w:rsidR="00C9417B" w:rsidRPr="000906D7" w:rsidRDefault="00C9417B" w:rsidP="00C9417B">
            <w:pPr>
              <w:jc w:val="right"/>
            </w:pPr>
            <w:r w:rsidRPr="000906D7">
              <w:t xml:space="preserve">                       5,752 </w:t>
            </w:r>
          </w:p>
        </w:tc>
      </w:tr>
      <w:tr w:rsidR="00C9417B" w:rsidRPr="000906D7" w:rsidTr="00C9417B">
        <w:trPr>
          <w:trHeight w:val="312"/>
        </w:trPr>
        <w:tc>
          <w:tcPr>
            <w:tcW w:w="3566" w:type="dxa"/>
            <w:noWrap/>
            <w:hideMark/>
          </w:tcPr>
          <w:p w:rsidR="00C9417B" w:rsidRPr="000906D7" w:rsidRDefault="00C9417B" w:rsidP="00C9417B">
            <w:r w:rsidRPr="000906D7">
              <w:t>Less: Operating expenses (excluding impairment )</w:t>
            </w:r>
          </w:p>
        </w:tc>
        <w:tc>
          <w:tcPr>
            <w:tcW w:w="1522" w:type="dxa"/>
            <w:noWrap/>
            <w:hideMark/>
          </w:tcPr>
          <w:p w:rsidR="00C9417B" w:rsidRPr="000906D7" w:rsidRDefault="00C9417B" w:rsidP="00C9417B">
            <w:pPr>
              <w:jc w:val="right"/>
              <w:rPr>
                <w:b/>
                <w:bCs/>
              </w:rPr>
            </w:pPr>
            <w:r w:rsidRPr="000906D7">
              <w:rPr>
                <w:b/>
                <w:bCs/>
              </w:rPr>
              <w:t xml:space="preserve">                          9,616 </w:t>
            </w:r>
          </w:p>
        </w:tc>
        <w:tc>
          <w:tcPr>
            <w:tcW w:w="1425" w:type="dxa"/>
            <w:noWrap/>
            <w:hideMark/>
          </w:tcPr>
          <w:p w:rsidR="00C9417B" w:rsidRPr="000906D7" w:rsidRDefault="00C9417B" w:rsidP="00C9417B">
            <w:pPr>
              <w:jc w:val="right"/>
            </w:pPr>
            <w:r w:rsidRPr="000906D7">
              <w:t xml:space="preserve">                        8,901 </w:t>
            </w:r>
          </w:p>
        </w:tc>
        <w:tc>
          <w:tcPr>
            <w:tcW w:w="1451" w:type="dxa"/>
            <w:noWrap/>
            <w:hideMark/>
          </w:tcPr>
          <w:p w:rsidR="00C9417B" w:rsidRPr="000906D7" w:rsidRDefault="00C9417B" w:rsidP="00C9417B">
            <w:pPr>
              <w:jc w:val="right"/>
              <w:rPr>
                <w:b/>
                <w:bCs/>
              </w:rPr>
            </w:pPr>
            <w:r w:rsidRPr="000906D7">
              <w:rPr>
                <w:b/>
                <w:bCs/>
              </w:rPr>
              <w:t xml:space="preserve">                      14,211 </w:t>
            </w:r>
          </w:p>
        </w:tc>
        <w:tc>
          <w:tcPr>
            <w:tcW w:w="1386" w:type="dxa"/>
            <w:noWrap/>
            <w:hideMark/>
          </w:tcPr>
          <w:p w:rsidR="00C9417B" w:rsidRPr="000906D7" w:rsidRDefault="00C9417B" w:rsidP="00C9417B">
            <w:pPr>
              <w:jc w:val="right"/>
            </w:pPr>
            <w:r w:rsidRPr="000906D7">
              <w:t xml:space="preserve">                     13,858 </w:t>
            </w:r>
          </w:p>
        </w:tc>
      </w:tr>
      <w:tr w:rsidR="00C9417B" w:rsidRPr="000906D7" w:rsidTr="00C9417B">
        <w:trPr>
          <w:trHeight w:val="324"/>
        </w:trPr>
        <w:tc>
          <w:tcPr>
            <w:tcW w:w="3566" w:type="dxa"/>
            <w:noWrap/>
            <w:hideMark/>
          </w:tcPr>
          <w:p w:rsidR="00C9417B" w:rsidRPr="000906D7" w:rsidRDefault="00C9417B" w:rsidP="00C9417B">
            <w:r w:rsidRPr="000906D7">
              <w:t>Impairment</w:t>
            </w:r>
          </w:p>
        </w:tc>
        <w:tc>
          <w:tcPr>
            <w:tcW w:w="1522" w:type="dxa"/>
            <w:noWrap/>
            <w:hideMark/>
          </w:tcPr>
          <w:p w:rsidR="00C9417B" w:rsidRPr="000906D7" w:rsidRDefault="00C9417B" w:rsidP="00C9417B">
            <w:pPr>
              <w:jc w:val="right"/>
              <w:rPr>
                <w:b/>
                <w:bCs/>
              </w:rPr>
            </w:pPr>
            <w:r w:rsidRPr="000906D7">
              <w:rPr>
                <w:b/>
                <w:bCs/>
              </w:rPr>
              <w:t xml:space="preserve">                        (1,156)</w:t>
            </w:r>
          </w:p>
        </w:tc>
        <w:tc>
          <w:tcPr>
            <w:tcW w:w="1425" w:type="dxa"/>
            <w:noWrap/>
            <w:hideMark/>
          </w:tcPr>
          <w:p w:rsidR="00C9417B" w:rsidRPr="000906D7" w:rsidRDefault="00C9417B" w:rsidP="00C9417B">
            <w:pPr>
              <w:jc w:val="right"/>
            </w:pPr>
            <w:r w:rsidRPr="000906D7">
              <w:t xml:space="preserve">                           568 </w:t>
            </w:r>
          </w:p>
        </w:tc>
        <w:tc>
          <w:tcPr>
            <w:tcW w:w="1451" w:type="dxa"/>
            <w:noWrap/>
            <w:hideMark/>
          </w:tcPr>
          <w:p w:rsidR="00C9417B" w:rsidRPr="000906D7" w:rsidRDefault="00C9417B" w:rsidP="00C9417B">
            <w:pPr>
              <w:jc w:val="right"/>
              <w:rPr>
                <w:b/>
                <w:bCs/>
              </w:rPr>
            </w:pPr>
            <w:r w:rsidRPr="000906D7">
              <w:rPr>
                <w:b/>
                <w:bCs/>
              </w:rPr>
              <w:t xml:space="preserve">                      (1,354)</w:t>
            </w:r>
          </w:p>
        </w:tc>
        <w:tc>
          <w:tcPr>
            <w:tcW w:w="1386" w:type="dxa"/>
            <w:noWrap/>
            <w:hideMark/>
          </w:tcPr>
          <w:p w:rsidR="00C9417B" w:rsidRPr="000906D7" w:rsidRDefault="00C9417B" w:rsidP="00C9417B">
            <w:pPr>
              <w:jc w:val="right"/>
            </w:pPr>
            <w:r w:rsidRPr="000906D7">
              <w:t xml:space="preserve">                          708 </w:t>
            </w:r>
          </w:p>
        </w:tc>
      </w:tr>
      <w:tr w:rsidR="00C9417B" w:rsidRPr="000906D7" w:rsidTr="00C9417B">
        <w:trPr>
          <w:trHeight w:val="312"/>
        </w:trPr>
        <w:tc>
          <w:tcPr>
            <w:tcW w:w="3566" w:type="dxa"/>
            <w:noWrap/>
            <w:hideMark/>
          </w:tcPr>
          <w:p w:rsidR="00C9417B" w:rsidRPr="000906D7" w:rsidRDefault="00C9417B" w:rsidP="00C9417B">
            <w:pPr>
              <w:rPr>
                <w:b/>
                <w:bCs/>
              </w:rPr>
            </w:pPr>
            <w:r w:rsidRPr="000906D7">
              <w:rPr>
                <w:b/>
                <w:bCs/>
              </w:rPr>
              <w:t>Profit/ (Loss) before tax</w:t>
            </w:r>
          </w:p>
        </w:tc>
        <w:tc>
          <w:tcPr>
            <w:tcW w:w="1522" w:type="dxa"/>
            <w:noWrap/>
            <w:hideMark/>
          </w:tcPr>
          <w:p w:rsidR="00C9417B" w:rsidRPr="000906D7" w:rsidRDefault="00C9417B" w:rsidP="00C9417B">
            <w:pPr>
              <w:jc w:val="right"/>
              <w:rPr>
                <w:b/>
                <w:bCs/>
              </w:rPr>
            </w:pPr>
            <w:r w:rsidRPr="000906D7">
              <w:rPr>
                <w:b/>
                <w:bCs/>
              </w:rPr>
              <w:t xml:space="preserve">                          5,375 </w:t>
            </w:r>
          </w:p>
        </w:tc>
        <w:tc>
          <w:tcPr>
            <w:tcW w:w="1425" w:type="dxa"/>
            <w:noWrap/>
            <w:hideMark/>
          </w:tcPr>
          <w:p w:rsidR="00C9417B" w:rsidRPr="000906D7" w:rsidRDefault="00C9417B" w:rsidP="00C9417B">
            <w:pPr>
              <w:jc w:val="right"/>
            </w:pPr>
            <w:r w:rsidRPr="000906D7">
              <w:t xml:space="preserve">                        4,342 </w:t>
            </w:r>
          </w:p>
        </w:tc>
        <w:tc>
          <w:tcPr>
            <w:tcW w:w="1451" w:type="dxa"/>
            <w:noWrap/>
            <w:hideMark/>
          </w:tcPr>
          <w:p w:rsidR="00C9417B" w:rsidRPr="000906D7" w:rsidRDefault="00C9417B" w:rsidP="00C9417B">
            <w:pPr>
              <w:jc w:val="right"/>
              <w:rPr>
                <w:b/>
                <w:bCs/>
              </w:rPr>
            </w:pPr>
            <w:r w:rsidRPr="000906D7">
              <w:rPr>
                <w:b/>
                <w:bCs/>
              </w:rPr>
              <w:t xml:space="preserve">                        6,429 </w:t>
            </w:r>
          </w:p>
        </w:tc>
        <w:tc>
          <w:tcPr>
            <w:tcW w:w="1386" w:type="dxa"/>
            <w:noWrap/>
            <w:hideMark/>
          </w:tcPr>
          <w:p w:rsidR="00C9417B" w:rsidRPr="000906D7" w:rsidRDefault="00C9417B" w:rsidP="00C9417B">
            <w:pPr>
              <w:jc w:val="right"/>
            </w:pPr>
            <w:r w:rsidRPr="000906D7">
              <w:t xml:space="preserve">                       5,331 </w:t>
            </w:r>
          </w:p>
        </w:tc>
      </w:tr>
      <w:tr w:rsidR="00C9417B" w:rsidRPr="000906D7" w:rsidTr="00C9417B">
        <w:trPr>
          <w:trHeight w:val="312"/>
        </w:trPr>
        <w:tc>
          <w:tcPr>
            <w:tcW w:w="3566" w:type="dxa"/>
            <w:noWrap/>
            <w:hideMark/>
          </w:tcPr>
          <w:p w:rsidR="00C9417B" w:rsidRPr="000906D7" w:rsidRDefault="00C9417B" w:rsidP="00C9417B">
            <w:r w:rsidRPr="000906D7">
              <w:t>Less; Income tax</w:t>
            </w:r>
          </w:p>
        </w:tc>
        <w:tc>
          <w:tcPr>
            <w:tcW w:w="1522" w:type="dxa"/>
            <w:noWrap/>
            <w:hideMark/>
          </w:tcPr>
          <w:p w:rsidR="00C9417B" w:rsidRPr="000906D7" w:rsidRDefault="00C9417B" w:rsidP="00C9417B">
            <w:pPr>
              <w:jc w:val="right"/>
              <w:rPr>
                <w:b/>
                <w:bCs/>
              </w:rPr>
            </w:pPr>
            <w:r w:rsidRPr="000906D7">
              <w:rPr>
                <w:b/>
                <w:bCs/>
              </w:rPr>
              <w:t xml:space="preserve">                          1,835 </w:t>
            </w:r>
          </w:p>
        </w:tc>
        <w:tc>
          <w:tcPr>
            <w:tcW w:w="1425" w:type="dxa"/>
            <w:noWrap/>
            <w:hideMark/>
          </w:tcPr>
          <w:p w:rsidR="00C9417B" w:rsidRPr="000906D7" w:rsidRDefault="00C9417B" w:rsidP="00C9417B">
            <w:pPr>
              <w:jc w:val="right"/>
            </w:pPr>
            <w:r w:rsidRPr="000906D7">
              <w:t xml:space="preserve">                        1,324 </w:t>
            </w:r>
          </w:p>
        </w:tc>
        <w:tc>
          <w:tcPr>
            <w:tcW w:w="1451" w:type="dxa"/>
            <w:noWrap/>
            <w:hideMark/>
          </w:tcPr>
          <w:p w:rsidR="00C9417B" w:rsidRPr="000906D7" w:rsidRDefault="00C9417B" w:rsidP="00C9417B">
            <w:pPr>
              <w:jc w:val="right"/>
              <w:rPr>
                <w:b/>
                <w:bCs/>
              </w:rPr>
            </w:pPr>
            <w:r w:rsidRPr="000906D7">
              <w:rPr>
                <w:b/>
                <w:bCs/>
              </w:rPr>
              <w:t xml:space="preserve">                        2,232 </w:t>
            </w:r>
          </w:p>
        </w:tc>
        <w:tc>
          <w:tcPr>
            <w:tcW w:w="1386" w:type="dxa"/>
            <w:noWrap/>
            <w:hideMark/>
          </w:tcPr>
          <w:p w:rsidR="00C9417B" w:rsidRPr="000906D7" w:rsidRDefault="00C9417B" w:rsidP="00C9417B">
            <w:pPr>
              <w:jc w:val="right"/>
            </w:pPr>
            <w:r w:rsidRPr="000906D7">
              <w:t xml:space="preserve">                       1,889 </w:t>
            </w:r>
          </w:p>
        </w:tc>
      </w:tr>
      <w:tr w:rsidR="00C9417B" w:rsidRPr="000906D7" w:rsidTr="00C9417B">
        <w:trPr>
          <w:trHeight w:val="324"/>
        </w:trPr>
        <w:tc>
          <w:tcPr>
            <w:tcW w:w="3566" w:type="dxa"/>
            <w:noWrap/>
            <w:hideMark/>
          </w:tcPr>
          <w:p w:rsidR="00C9417B" w:rsidRPr="000906D7" w:rsidRDefault="00C9417B" w:rsidP="00C9417B">
            <w:pPr>
              <w:rPr>
                <w:b/>
                <w:bCs/>
              </w:rPr>
            </w:pPr>
            <w:r w:rsidRPr="000906D7">
              <w:rPr>
                <w:b/>
                <w:bCs/>
              </w:rPr>
              <w:t>Profit/( Loss) after tax</w:t>
            </w:r>
          </w:p>
        </w:tc>
        <w:tc>
          <w:tcPr>
            <w:tcW w:w="1522" w:type="dxa"/>
            <w:noWrap/>
            <w:hideMark/>
          </w:tcPr>
          <w:p w:rsidR="00C9417B" w:rsidRPr="000906D7" w:rsidRDefault="00C9417B" w:rsidP="00C9417B">
            <w:pPr>
              <w:jc w:val="right"/>
              <w:rPr>
                <w:b/>
                <w:bCs/>
              </w:rPr>
            </w:pPr>
            <w:r w:rsidRPr="000906D7">
              <w:rPr>
                <w:b/>
                <w:bCs/>
              </w:rPr>
              <w:t xml:space="preserve">                          3,540 </w:t>
            </w:r>
          </w:p>
        </w:tc>
        <w:tc>
          <w:tcPr>
            <w:tcW w:w="1425" w:type="dxa"/>
            <w:noWrap/>
            <w:hideMark/>
          </w:tcPr>
          <w:p w:rsidR="00C9417B" w:rsidRPr="000906D7" w:rsidRDefault="00C9417B" w:rsidP="00C9417B">
            <w:pPr>
              <w:jc w:val="right"/>
            </w:pPr>
            <w:r w:rsidRPr="000906D7">
              <w:t xml:space="preserve">                        3,018 </w:t>
            </w:r>
          </w:p>
        </w:tc>
        <w:tc>
          <w:tcPr>
            <w:tcW w:w="1451" w:type="dxa"/>
            <w:noWrap/>
            <w:hideMark/>
          </w:tcPr>
          <w:p w:rsidR="00C9417B" w:rsidRPr="000906D7" w:rsidRDefault="00C9417B" w:rsidP="00C9417B">
            <w:pPr>
              <w:jc w:val="right"/>
              <w:rPr>
                <w:b/>
                <w:bCs/>
              </w:rPr>
            </w:pPr>
            <w:r w:rsidRPr="000906D7">
              <w:rPr>
                <w:b/>
                <w:bCs/>
              </w:rPr>
              <w:t xml:space="preserve">                        4,197 </w:t>
            </w:r>
          </w:p>
        </w:tc>
        <w:tc>
          <w:tcPr>
            <w:tcW w:w="1386" w:type="dxa"/>
            <w:noWrap/>
            <w:hideMark/>
          </w:tcPr>
          <w:p w:rsidR="00C9417B" w:rsidRPr="000906D7" w:rsidRDefault="00C9417B" w:rsidP="00C9417B">
            <w:pPr>
              <w:jc w:val="right"/>
            </w:pPr>
            <w:r w:rsidRPr="000906D7">
              <w:t xml:space="preserve">                       3,442 </w:t>
            </w:r>
          </w:p>
        </w:tc>
      </w:tr>
      <w:tr w:rsidR="00C9417B" w:rsidRPr="000906D7" w:rsidTr="00C9417B">
        <w:trPr>
          <w:trHeight w:val="324"/>
        </w:trPr>
        <w:tc>
          <w:tcPr>
            <w:tcW w:w="3566" w:type="dxa"/>
            <w:noWrap/>
            <w:hideMark/>
          </w:tcPr>
          <w:p w:rsidR="00C9417B" w:rsidRPr="000906D7" w:rsidRDefault="00C9417B" w:rsidP="00C9417B"/>
        </w:tc>
        <w:tc>
          <w:tcPr>
            <w:tcW w:w="1522" w:type="dxa"/>
            <w:noWrap/>
            <w:hideMark/>
          </w:tcPr>
          <w:p w:rsidR="00C9417B" w:rsidRPr="000906D7" w:rsidRDefault="00C9417B" w:rsidP="00C9417B">
            <w:pPr>
              <w:jc w:val="right"/>
            </w:pPr>
          </w:p>
        </w:tc>
        <w:tc>
          <w:tcPr>
            <w:tcW w:w="1425" w:type="dxa"/>
            <w:noWrap/>
            <w:hideMark/>
          </w:tcPr>
          <w:p w:rsidR="00C9417B" w:rsidRPr="000906D7" w:rsidRDefault="00C9417B" w:rsidP="00C9417B">
            <w:pPr>
              <w:jc w:val="right"/>
            </w:pPr>
          </w:p>
        </w:tc>
        <w:tc>
          <w:tcPr>
            <w:tcW w:w="1451" w:type="dxa"/>
            <w:noWrap/>
            <w:hideMark/>
          </w:tcPr>
          <w:p w:rsidR="00C9417B" w:rsidRPr="000906D7" w:rsidRDefault="00C9417B" w:rsidP="00C9417B">
            <w:pPr>
              <w:jc w:val="right"/>
            </w:pPr>
          </w:p>
        </w:tc>
        <w:tc>
          <w:tcPr>
            <w:tcW w:w="1386" w:type="dxa"/>
            <w:noWrap/>
            <w:hideMark/>
          </w:tcPr>
          <w:p w:rsidR="00C9417B" w:rsidRPr="000906D7" w:rsidRDefault="00C9417B" w:rsidP="00C9417B">
            <w:pPr>
              <w:jc w:val="right"/>
            </w:pPr>
          </w:p>
        </w:tc>
      </w:tr>
    </w:tbl>
    <w:p w:rsidR="0095763B" w:rsidRDefault="0095763B" w:rsidP="000906D7"/>
    <w:p w:rsidR="0095763B" w:rsidRDefault="0095763B" w:rsidP="000906D7"/>
    <w:p w:rsidR="0095763B" w:rsidRDefault="0095763B" w:rsidP="000906D7"/>
    <w:p w:rsidR="0095763B" w:rsidRDefault="0095763B" w:rsidP="000906D7"/>
    <w:p w:rsidR="0095763B" w:rsidRDefault="0095763B" w:rsidP="000906D7"/>
    <w:p w:rsidR="0095763B" w:rsidRDefault="0095763B" w:rsidP="000906D7"/>
    <w:p w:rsidR="0095763B" w:rsidRDefault="0095763B" w:rsidP="000906D7"/>
    <w:p w:rsidR="0095763B" w:rsidRDefault="0095763B" w:rsidP="000906D7"/>
    <w:tbl>
      <w:tblPr>
        <w:tblStyle w:val="TableGrid"/>
        <w:tblpPr w:leftFromText="180" w:rightFromText="180" w:vertAnchor="text" w:horzAnchor="margin" w:tblpY="-1167"/>
        <w:tblW w:w="0" w:type="auto"/>
        <w:tblLook w:val="04A0" w:firstRow="1" w:lastRow="0" w:firstColumn="1" w:lastColumn="0" w:noHBand="0" w:noVBand="1"/>
      </w:tblPr>
      <w:tblGrid>
        <w:gridCol w:w="3227"/>
        <w:gridCol w:w="1535"/>
        <w:gridCol w:w="1492"/>
        <w:gridCol w:w="1509"/>
        <w:gridCol w:w="1587"/>
      </w:tblGrid>
      <w:tr w:rsidR="00C9417B" w:rsidRPr="000906D7" w:rsidTr="00C9417B">
        <w:trPr>
          <w:trHeight w:val="288"/>
        </w:trPr>
        <w:tc>
          <w:tcPr>
            <w:tcW w:w="9350" w:type="dxa"/>
            <w:gridSpan w:val="5"/>
            <w:noWrap/>
            <w:hideMark/>
          </w:tcPr>
          <w:p w:rsidR="00C9417B" w:rsidRPr="000906D7" w:rsidRDefault="00C9417B" w:rsidP="00C9417B">
            <w:pPr>
              <w:rPr>
                <w:b/>
                <w:bCs/>
              </w:rPr>
            </w:pPr>
            <w:r w:rsidRPr="000906D7">
              <w:rPr>
                <w:b/>
                <w:bCs/>
              </w:rPr>
              <w:lastRenderedPageBreak/>
              <w:t>People's Leasing &amp; Finance PLC</w:t>
            </w:r>
          </w:p>
        </w:tc>
      </w:tr>
      <w:tr w:rsidR="00C9417B" w:rsidRPr="000906D7" w:rsidTr="00C9417B">
        <w:trPr>
          <w:trHeight w:val="288"/>
        </w:trPr>
        <w:tc>
          <w:tcPr>
            <w:tcW w:w="9350" w:type="dxa"/>
            <w:gridSpan w:val="5"/>
            <w:noWrap/>
            <w:hideMark/>
          </w:tcPr>
          <w:p w:rsidR="00C9417B" w:rsidRPr="000906D7" w:rsidRDefault="00C9417B" w:rsidP="00C9417B">
            <w:pPr>
              <w:rPr>
                <w:b/>
                <w:bCs/>
              </w:rPr>
            </w:pPr>
            <w:r w:rsidRPr="000906D7">
              <w:rPr>
                <w:b/>
                <w:bCs/>
              </w:rPr>
              <w:t>KEY FINANCIAL DATA AS AT 31ST MARCH 2024 (AUDITED)</w:t>
            </w:r>
          </w:p>
        </w:tc>
      </w:tr>
      <w:tr w:rsidR="00C9417B" w:rsidRPr="000906D7" w:rsidTr="00C9417B">
        <w:trPr>
          <w:trHeight w:val="288"/>
        </w:trPr>
        <w:tc>
          <w:tcPr>
            <w:tcW w:w="3227" w:type="dxa"/>
            <w:vMerge w:val="restart"/>
            <w:noWrap/>
            <w:hideMark/>
          </w:tcPr>
          <w:p w:rsidR="00C9417B" w:rsidRPr="000906D7" w:rsidRDefault="00C9417B" w:rsidP="00C9417B">
            <w:pPr>
              <w:rPr>
                <w:b/>
                <w:bCs/>
              </w:rPr>
            </w:pPr>
            <w:r w:rsidRPr="000906D7">
              <w:rPr>
                <w:b/>
                <w:bCs/>
              </w:rPr>
              <w:t>In Rupees Million</w:t>
            </w:r>
          </w:p>
        </w:tc>
        <w:tc>
          <w:tcPr>
            <w:tcW w:w="3027" w:type="dxa"/>
            <w:gridSpan w:val="2"/>
            <w:noWrap/>
            <w:hideMark/>
          </w:tcPr>
          <w:p w:rsidR="00C9417B" w:rsidRPr="000906D7" w:rsidRDefault="00C9417B" w:rsidP="00C9417B">
            <w:pPr>
              <w:jc w:val="center"/>
              <w:rPr>
                <w:b/>
                <w:bCs/>
              </w:rPr>
            </w:pPr>
            <w:r w:rsidRPr="000906D7">
              <w:rPr>
                <w:b/>
                <w:bCs/>
              </w:rPr>
              <w:t>Company</w:t>
            </w:r>
          </w:p>
        </w:tc>
        <w:tc>
          <w:tcPr>
            <w:tcW w:w="3096" w:type="dxa"/>
            <w:gridSpan w:val="2"/>
            <w:noWrap/>
            <w:hideMark/>
          </w:tcPr>
          <w:p w:rsidR="00C9417B" w:rsidRPr="000906D7" w:rsidRDefault="00C9417B" w:rsidP="00C9417B">
            <w:pPr>
              <w:jc w:val="center"/>
              <w:rPr>
                <w:b/>
                <w:bCs/>
              </w:rPr>
            </w:pPr>
            <w:r w:rsidRPr="000906D7">
              <w:rPr>
                <w:b/>
                <w:bCs/>
              </w:rPr>
              <w:t>Group</w:t>
            </w:r>
          </w:p>
        </w:tc>
      </w:tr>
      <w:tr w:rsidR="00C9417B" w:rsidRPr="000906D7" w:rsidTr="00C9417B">
        <w:trPr>
          <w:trHeight w:val="288"/>
        </w:trPr>
        <w:tc>
          <w:tcPr>
            <w:tcW w:w="3227" w:type="dxa"/>
            <w:vMerge/>
            <w:hideMark/>
          </w:tcPr>
          <w:p w:rsidR="00C9417B" w:rsidRPr="000906D7" w:rsidRDefault="00C9417B" w:rsidP="00C9417B">
            <w:pPr>
              <w:rPr>
                <w:b/>
                <w:bCs/>
              </w:rPr>
            </w:pPr>
          </w:p>
        </w:tc>
        <w:tc>
          <w:tcPr>
            <w:tcW w:w="1535" w:type="dxa"/>
            <w:noWrap/>
            <w:hideMark/>
          </w:tcPr>
          <w:p w:rsidR="00C9417B" w:rsidRPr="000906D7" w:rsidRDefault="00C9417B" w:rsidP="00C9417B">
            <w:pPr>
              <w:jc w:val="right"/>
              <w:rPr>
                <w:b/>
                <w:bCs/>
              </w:rPr>
            </w:pPr>
            <w:r w:rsidRPr="000906D7">
              <w:rPr>
                <w:b/>
                <w:bCs/>
              </w:rPr>
              <w:t>As at 31 March 2024</w:t>
            </w:r>
          </w:p>
        </w:tc>
        <w:tc>
          <w:tcPr>
            <w:tcW w:w="1492" w:type="dxa"/>
            <w:noWrap/>
            <w:hideMark/>
          </w:tcPr>
          <w:p w:rsidR="00C9417B" w:rsidRPr="000906D7" w:rsidRDefault="00C9417B" w:rsidP="00C9417B">
            <w:pPr>
              <w:jc w:val="right"/>
            </w:pPr>
            <w:r w:rsidRPr="000906D7">
              <w:t>As at 31 March 2023</w:t>
            </w:r>
          </w:p>
        </w:tc>
        <w:tc>
          <w:tcPr>
            <w:tcW w:w="1509" w:type="dxa"/>
            <w:noWrap/>
            <w:hideMark/>
          </w:tcPr>
          <w:p w:rsidR="00C9417B" w:rsidRPr="000906D7" w:rsidRDefault="00C9417B" w:rsidP="00C9417B">
            <w:pPr>
              <w:jc w:val="right"/>
              <w:rPr>
                <w:b/>
                <w:bCs/>
              </w:rPr>
            </w:pPr>
            <w:r w:rsidRPr="000906D7">
              <w:rPr>
                <w:b/>
                <w:bCs/>
              </w:rPr>
              <w:t>As at 31 March 2024</w:t>
            </w:r>
          </w:p>
        </w:tc>
        <w:tc>
          <w:tcPr>
            <w:tcW w:w="1587" w:type="dxa"/>
            <w:noWrap/>
            <w:hideMark/>
          </w:tcPr>
          <w:p w:rsidR="00C9417B" w:rsidRPr="000906D7" w:rsidRDefault="00C9417B" w:rsidP="00C9417B">
            <w:pPr>
              <w:jc w:val="right"/>
            </w:pPr>
            <w:r w:rsidRPr="000906D7">
              <w:t>As at 31 March 2023</w:t>
            </w:r>
          </w:p>
        </w:tc>
      </w:tr>
      <w:tr w:rsidR="00C9417B" w:rsidRPr="000906D7" w:rsidTr="00C9417B">
        <w:trPr>
          <w:trHeight w:val="288"/>
        </w:trPr>
        <w:tc>
          <w:tcPr>
            <w:tcW w:w="3227" w:type="dxa"/>
            <w:noWrap/>
            <w:hideMark/>
          </w:tcPr>
          <w:p w:rsidR="00C9417B" w:rsidRPr="000906D7" w:rsidRDefault="00C9417B" w:rsidP="00C9417B">
            <w:pPr>
              <w:rPr>
                <w:b/>
                <w:bCs/>
              </w:rPr>
            </w:pPr>
            <w:r w:rsidRPr="000906D7">
              <w:rPr>
                <w:b/>
                <w:bCs/>
              </w:rPr>
              <w:t>Assets</w:t>
            </w:r>
          </w:p>
        </w:tc>
        <w:tc>
          <w:tcPr>
            <w:tcW w:w="1535" w:type="dxa"/>
            <w:noWrap/>
            <w:hideMark/>
          </w:tcPr>
          <w:p w:rsidR="00C9417B" w:rsidRPr="000906D7" w:rsidRDefault="00C9417B" w:rsidP="00C9417B">
            <w:pPr>
              <w:jc w:val="right"/>
            </w:pPr>
            <w:r w:rsidRPr="000906D7">
              <w:t> </w:t>
            </w:r>
          </w:p>
        </w:tc>
        <w:tc>
          <w:tcPr>
            <w:tcW w:w="1492" w:type="dxa"/>
            <w:noWrap/>
            <w:hideMark/>
          </w:tcPr>
          <w:p w:rsidR="00C9417B" w:rsidRPr="000906D7" w:rsidRDefault="00C9417B" w:rsidP="00C9417B">
            <w:pPr>
              <w:jc w:val="right"/>
            </w:pPr>
            <w:r w:rsidRPr="000906D7">
              <w:t> </w:t>
            </w:r>
          </w:p>
        </w:tc>
        <w:tc>
          <w:tcPr>
            <w:tcW w:w="1509" w:type="dxa"/>
            <w:noWrap/>
            <w:hideMark/>
          </w:tcPr>
          <w:p w:rsidR="00C9417B" w:rsidRPr="000906D7" w:rsidRDefault="00C9417B" w:rsidP="00C9417B">
            <w:pPr>
              <w:jc w:val="right"/>
            </w:pPr>
            <w:r w:rsidRPr="000906D7">
              <w:t> </w:t>
            </w:r>
          </w:p>
        </w:tc>
        <w:tc>
          <w:tcPr>
            <w:tcW w:w="1587" w:type="dxa"/>
            <w:noWrap/>
            <w:hideMark/>
          </w:tcPr>
          <w:p w:rsidR="00C9417B" w:rsidRPr="000906D7" w:rsidRDefault="00C9417B" w:rsidP="00C9417B">
            <w:pPr>
              <w:jc w:val="right"/>
            </w:pPr>
            <w:r w:rsidRPr="000906D7">
              <w:t> </w:t>
            </w:r>
          </w:p>
        </w:tc>
      </w:tr>
      <w:tr w:rsidR="00C9417B" w:rsidRPr="000906D7" w:rsidTr="00C9417B">
        <w:trPr>
          <w:trHeight w:val="288"/>
        </w:trPr>
        <w:tc>
          <w:tcPr>
            <w:tcW w:w="3227" w:type="dxa"/>
            <w:noWrap/>
            <w:hideMark/>
          </w:tcPr>
          <w:p w:rsidR="00C9417B" w:rsidRPr="000906D7" w:rsidRDefault="00C9417B" w:rsidP="00C9417B">
            <w:r w:rsidRPr="000906D7">
              <w:t>Cash and bank balance</w:t>
            </w:r>
          </w:p>
        </w:tc>
        <w:tc>
          <w:tcPr>
            <w:tcW w:w="1535" w:type="dxa"/>
            <w:noWrap/>
            <w:hideMark/>
          </w:tcPr>
          <w:p w:rsidR="00C9417B" w:rsidRPr="000906D7" w:rsidRDefault="00C9417B" w:rsidP="00C9417B">
            <w:pPr>
              <w:jc w:val="right"/>
              <w:rPr>
                <w:b/>
                <w:bCs/>
              </w:rPr>
            </w:pPr>
            <w:r w:rsidRPr="000906D7">
              <w:rPr>
                <w:b/>
                <w:bCs/>
              </w:rPr>
              <w:t xml:space="preserve">                         24,016 </w:t>
            </w:r>
          </w:p>
        </w:tc>
        <w:tc>
          <w:tcPr>
            <w:tcW w:w="1492" w:type="dxa"/>
            <w:noWrap/>
            <w:hideMark/>
          </w:tcPr>
          <w:p w:rsidR="00C9417B" w:rsidRPr="000906D7" w:rsidRDefault="00C9417B" w:rsidP="00C9417B">
            <w:pPr>
              <w:jc w:val="right"/>
            </w:pPr>
            <w:r w:rsidRPr="000906D7">
              <w:t xml:space="preserve">                      35,685 </w:t>
            </w:r>
          </w:p>
        </w:tc>
        <w:tc>
          <w:tcPr>
            <w:tcW w:w="1509" w:type="dxa"/>
            <w:noWrap/>
            <w:hideMark/>
          </w:tcPr>
          <w:p w:rsidR="00C9417B" w:rsidRPr="000906D7" w:rsidRDefault="00C9417B" w:rsidP="00C9417B">
            <w:pPr>
              <w:jc w:val="right"/>
              <w:rPr>
                <w:b/>
                <w:bCs/>
              </w:rPr>
            </w:pPr>
            <w:r w:rsidRPr="000906D7">
              <w:rPr>
                <w:b/>
                <w:bCs/>
              </w:rPr>
              <w:t xml:space="preserve">                        28,199 </w:t>
            </w:r>
          </w:p>
        </w:tc>
        <w:tc>
          <w:tcPr>
            <w:tcW w:w="1587" w:type="dxa"/>
            <w:noWrap/>
            <w:hideMark/>
          </w:tcPr>
          <w:p w:rsidR="00C9417B" w:rsidRPr="000906D7" w:rsidRDefault="00C9417B" w:rsidP="00C9417B">
            <w:pPr>
              <w:jc w:val="right"/>
            </w:pPr>
            <w:r w:rsidRPr="000906D7">
              <w:t xml:space="preserve">                           40,541 </w:t>
            </w:r>
          </w:p>
        </w:tc>
      </w:tr>
      <w:tr w:rsidR="00C9417B" w:rsidRPr="000906D7" w:rsidTr="00C9417B">
        <w:trPr>
          <w:trHeight w:val="288"/>
        </w:trPr>
        <w:tc>
          <w:tcPr>
            <w:tcW w:w="3227" w:type="dxa"/>
            <w:noWrap/>
            <w:hideMark/>
          </w:tcPr>
          <w:p w:rsidR="00C9417B" w:rsidRPr="000906D7" w:rsidRDefault="00C9417B" w:rsidP="00C9417B">
            <w:r w:rsidRPr="000906D7">
              <w:t>Government Securities</w:t>
            </w:r>
          </w:p>
        </w:tc>
        <w:tc>
          <w:tcPr>
            <w:tcW w:w="1535" w:type="dxa"/>
            <w:noWrap/>
            <w:hideMark/>
          </w:tcPr>
          <w:p w:rsidR="00C9417B" w:rsidRPr="000906D7" w:rsidRDefault="00C9417B" w:rsidP="00C9417B">
            <w:pPr>
              <w:jc w:val="right"/>
              <w:rPr>
                <w:b/>
                <w:bCs/>
              </w:rPr>
            </w:pPr>
            <w:r w:rsidRPr="000906D7">
              <w:rPr>
                <w:b/>
                <w:bCs/>
              </w:rPr>
              <w:t xml:space="preserve">                         18,372 </w:t>
            </w:r>
          </w:p>
        </w:tc>
        <w:tc>
          <w:tcPr>
            <w:tcW w:w="1492" w:type="dxa"/>
            <w:noWrap/>
            <w:hideMark/>
          </w:tcPr>
          <w:p w:rsidR="00C9417B" w:rsidRPr="000906D7" w:rsidRDefault="00C9417B" w:rsidP="00C9417B">
            <w:pPr>
              <w:jc w:val="right"/>
            </w:pPr>
            <w:r w:rsidRPr="000906D7">
              <w:t xml:space="preserve">                      10,904 </w:t>
            </w:r>
          </w:p>
        </w:tc>
        <w:tc>
          <w:tcPr>
            <w:tcW w:w="1509" w:type="dxa"/>
            <w:noWrap/>
            <w:hideMark/>
          </w:tcPr>
          <w:p w:rsidR="00C9417B" w:rsidRPr="000906D7" w:rsidRDefault="00C9417B" w:rsidP="00C9417B">
            <w:pPr>
              <w:jc w:val="right"/>
              <w:rPr>
                <w:b/>
                <w:bCs/>
              </w:rPr>
            </w:pPr>
            <w:r w:rsidRPr="000906D7">
              <w:rPr>
                <w:b/>
                <w:bCs/>
              </w:rPr>
              <w:t xml:space="preserve">                        22,363 </w:t>
            </w:r>
          </w:p>
        </w:tc>
        <w:tc>
          <w:tcPr>
            <w:tcW w:w="1587" w:type="dxa"/>
            <w:noWrap/>
            <w:hideMark/>
          </w:tcPr>
          <w:p w:rsidR="00C9417B" w:rsidRPr="000906D7" w:rsidRDefault="00C9417B" w:rsidP="00C9417B">
            <w:pPr>
              <w:jc w:val="right"/>
            </w:pPr>
            <w:r w:rsidRPr="000906D7">
              <w:t xml:space="preserve">                           13,574 </w:t>
            </w:r>
          </w:p>
        </w:tc>
      </w:tr>
      <w:tr w:rsidR="00C9417B" w:rsidRPr="000906D7" w:rsidTr="00C9417B">
        <w:trPr>
          <w:trHeight w:val="288"/>
        </w:trPr>
        <w:tc>
          <w:tcPr>
            <w:tcW w:w="3227" w:type="dxa"/>
            <w:noWrap/>
            <w:hideMark/>
          </w:tcPr>
          <w:p w:rsidR="00C9417B" w:rsidRPr="000906D7" w:rsidRDefault="00C9417B" w:rsidP="00C9417B">
            <w:r w:rsidRPr="000906D7">
              <w:t>Due from related parties</w:t>
            </w:r>
          </w:p>
        </w:tc>
        <w:tc>
          <w:tcPr>
            <w:tcW w:w="1535" w:type="dxa"/>
            <w:noWrap/>
            <w:hideMark/>
          </w:tcPr>
          <w:p w:rsidR="00C9417B" w:rsidRPr="000906D7" w:rsidRDefault="00C9417B" w:rsidP="00C9417B">
            <w:pPr>
              <w:jc w:val="right"/>
              <w:rPr>
                <w:b/>
                <w:bCs/>
              </w:rPr>
            </w:pPr>
            <w:r w:rsidRPr="000906D7">
              <w:rPr>
                <w:b/>
                <w:bCs/>
              </w:rPr>
              <w:t xml:space="preserve">                           1,390 </w:t>
            </w:r>
          </w:p>
        </w:tc>
        <w:tc>
          <w:tcPr>
            <w:tcW w:w="1492" w:type="dxa"/>
            <w:noWrap/>
            <w:hideMark/>
          </w:tcPr>
          <w:p w:rsidR="00C9417B" w:rsidRPr="000906D7" w:rsidRDefault="00C9417B" w:rsidP="00C9417B">
            <w:pPr>
              <w:jc w:val="right"/>
            </w:pPr>
            <w:r w:rsidRPr="000906D7">
              <w:t xml:space="preserve">                        1,637 </w:t>
            </w:r>
          </w:p>
        </w:tc>
        <w:tc>
          <w:tcPr>
            <w:tcW w:w="1509" w:type="dxa"/>
            <w:noWrap/>
            <w:hideMark/>
          </w:tcPr>
          <w:p w:rsidR="00C9417B" w:rsidRPr="000906D7" w:rsidRDefault="00C9417B" w:rsidP="00C9417B">
            <w:pPr>
              <w:jc w:val="right"/>
              <w:rPr>
                <w:b/>
                <w:bCs/>
              </w:rPr>
            </w:pPr>
            <w:r w:rsidRPr="000906D7">
              <w:rPr>
                <w:b/>
                <w:bCs/>
              </w:rPr>
              <w:t xml:space="preserve">                                 - </w:t>
            </w:r>
          </w:p>
        </w:tc>
        <w:tc>
          <w:tcPr>
            <w:tcW w:w="1587" w:type="dxa"/>
            <w:noWrap/>
            <w:hideMark/>
          </w:tcPr>
          <w:p w:rsidR="00C9417B" w:rsidRPr="000906D7" w:rsidRDefault="00C9417B" w:rsidP="00C9417B">
            <w:pPr>
              <w:jc w:val="right"/>
            </w:pPr>
            <w:r w:rsidRPr="000906D7">
              <w:t xml:space="preserve">                                   - </w:t>
            </w:r>
          </w:p>
        </w:tc>
      </w:tr>
      <w:tr w:rsidR="00C9417B" w:rsidRPr="000906D7" w:rsidTr="00C9417B">
        <w:trPr>
          <w:trHeight w:val="288"/>
        </w:trPr>
        <w:tc>
          <w:tcPr>
            <w:tcW w:w="3227" w:type="dxa"/>
            <w:noWrap/>
            <w:hideMark/>
          </w:tcPr>
          <w:p w:rsidR="00C9417B" w:rsidRPr="000906D7" w:rsidRDefault="00C9417B" w:rsidP="00C9417B">
            <w:r w:rsidRPr="000906D7">
              <w:t>Loans (excluding due from related parties)</w:t>
            </w:r>
          </w:p>
        </w:tc>
        <w:tc>
          <w:tcPr>
            <w:tcW w:w="1535" w:type="dxa"/>
            <w:noWrap/>
            <w:hideMark/>
          </w:tcPr>
          <w:p w:rsidR="00C9417B" w:rsidRPr="000906D7" w:rsidRDefault="00C9417B" w:rsidP="00C9417B">
            <w:pPr>
              <w:jc w:val="right"/>
              <w:rPr>
                <w:b/>
                <w:bCs/>
              </w:rPr>
            </w:pPr>
            <w:r w:rsidRPr="000906D7">
              <w:rPr>
                <w:b/>
                <w:bCs/>
              </w:rPr>
              <w:t xml:space="preserve">                       102,260 </w:t>
            </w:r>
          </w:p>
        </w:tc>
        <w:tc>
          <w:tcPr>
            <w:tcW w:w="1492" w:type="dxa"/>
            <w:noWrap/>
            <w:hideMark/>
          </w:tcPr>
          <w:p w:rsidR="00C9417B" w:rsidRPr="000906D7" w:rsidRDefault="00C9417B" w:rsidP="00C9417B">
            <w:pPr>
              <w:jc w:val="right"/>
            </w:pPr>
            <w:r w:rsidRPr="000906D7">
              <w:t xml:space="preserve">                        3,724 </w:t>
            </w:r>
          </w:p>
        </w:tc>
        <w:tc>
          <w:tcPr>
            <w:tcW w:w="1509" w:type="dxa"/>
            <w:noWrap/>
            <w:hideMark/>
          </w:tcPr>
          <w:p w:rsidR="00C9417B" w:rsidRPr="000906D7" w:rsidRDefault="00C9417B" w:rsidP="00C9417B">
            <w:pPr>
              <w:jc w:val="right"/>
              <w:rPr>
                <w:b/>
                <w:bCs/>
              </w:rPr>
            </w:pPr>
            <w:r w:rsidRPr="000906D7">
              <w:rPr>
                <w:b/>
                <w:bCs/>
              </w:rPr>
              <w:t xml:space="preserve">                       116,920 </w:t>
            </w:r>
          </w:p>
        </w:tc>
        <w:tc>
          <w:tcPr>
            <w:tcW w:w="1587" w:type="dxa"/>
            <w:noWrap/>
            <w:hideMark/>
          </w:tcPr>
          <w:p w:rsidR="00C9417B" w:rsidRPr="000906D7" w:rsidRDefault="00C9417B" w:rsidP="00C9417B">
            <w:pPr>
              <w:jc w:val="right"/>
            </w:pPr>
            <w:r w:rsidRPr="000906D7">
              <w:t xml:space="preserve">                         125,378 </w:t>
            </w:r>
          </w:p>
        </w:tc>
      </w:tr>
      <w:tr w:rsidR="00C9417B" w:rsidRPr="000906D7" w:rsidTr="00C9417B">
        <w:trPr>
          <w:trHeight w:val="288"/>
        </w:trPr>
        <w:tc>
          <w:tcPr>
            <w:tcW w:w="3227" w:type="dxa"/>
            <w:noWrap/>
            <w:hideMark/>
          </w:tcPr>
          <w:p w:rsidR="00C9417B" w:rsidRPr="000906D7" w:rsidRDefault="00C9417B" w:rsidP="00C9417B">
            <w:r w:rsidRPr="000906D7">
              <w:t>Investment in equity</w:t>
            </w:r>
          </w:p>
        </w:tc>
        <w:tc>
          <w:tcPr>
            <w:tcW w:w="1535" w:type="dxa"/>
            <w:noWrap/>
            <w:hideMark/>
          </w:tcPr>
          <w:p w:rsidR="00C9417B" w:rsidRPr="000906D7" w:rsidRDefault="00C9417B" w:rsidP="00C9417B">
            <w:pPr>
              <w:jc w:val="right"/>
              <w:rPr>
                <w:b/>
                <w:bCs/>
              </w:rPr>
            </w:pPr>
            <w:r w:rsidRPr="000906D7">
              <w:rPr>
                <w:b/>
                <w:bCs/>
              </w:rPr>
              <w:t xml:space="preserve">                           3,971 </w:t>
            </w:r>
          </w:p>
        </w:tc>
        <w:tc>
          <w:tcPr>
            <w:tcW w:w="1492" w:type="dxa"/>
            <w:noWrap/>
            <w:hideMark/>
          </w:tcPr>
          <w:p w:rsidR="00C9417B" w:rsidRPr="000906D7" w:rsidRDefault="00C9417B" w:rsidP="00C9417B">
            <w:pPr>
              <w:jc w:val="right"/>
            </w:pPr>
            <w:r w:rsidRPr="000906D7">
              <w:t xml:space="preserve">                           285 </w:t>
            </w:r>
          </w:p>
        </w:tc>
        <w:tc>
          <w:tcPr>
            <w:tcW w:w="1509" w:type="dxa"/>
            <w:noWrap/>
            <w:hideMark/>
          </w:tcPr>
          <w:p w:rsidR="00C9417B" w:rsidRPr="000906D7" w:rsidRDefault="00C9417B" w:rsidP="00C9417B">
            <w:pPr>
              <w:jc w:val="right"/>
              <w:rPr>
                <w:b/>
                <w:bCs/>
              </w:rPr>
            </w:pPr>
            <w:r w:rsidRPr="000906D7">
              <w:rPr>
                <w:b/>
                <w:bCs/>
              </w:rPr>
              <w:t xml:space="preserve">                             627 </w:t>
            </w:r>
          </w:p>
        </w:tc>
        <w:tc>
          <w:tcPr>
            <w:tcW w:w="1587" w:type="dxa"/>
            <w:noWrap/>
            <w:hideMark/>
          </w:tcPr>
          <w:p w:rsidR="00C9417B" w:rsidRPr="000906D7" w:rsidRDefault="00C9417B" w:rsidP="00C9417B">
            <w:pPr>
              <w:jc w:val="right"/>
            </w:pPr>
            <w:r w:rsidRPr="000906D7">
              <w:t xml:space="preserve">                               574 </w:t>
            </w:r>
          </w:p>
        </w:tc>
      </w:tr>
      <w:tr w:rsidR="00C9417B" w:rsidRPr="000906D7" w:rsidTr="00C9417B">
        <w:trPr>
          <w:trHeight w:val="288"/>
        </w:trPr>
        <w:tc>
          <w:tcPr>
            <w:tcW w:w="3227" w:type="dxa"/>
            <w:noWrap/>
            <w:hideMark/>
          </w:tcPr>
          <w:p w:rsidR="00C9417B" w:rsidRPr="000906D7" w:rsidRDefault="00C9417B" w:rsidP="00C9417B">
            <w:r w:rsidRPr="000906D7">
              <w:t>Investment properties and real estate</w:t>
            </w:r>
          </w:p>
        </w:tc>
        <w:tc>
          <w:tcPr>
            <w:tcW w:w="1535" w:type="dxa"/>
            <w:noWrap/>
            <w:hideMark/>
          </w:tcPr>
          <w:p w:rsidR="00C9417B" w:rsidRPr="000906D7" w:rsidRDefault="00C9417B" w:rsidP="00C9417B">
            <w:pPr>
              <w:jc w:val="right"/>
              <w:rPr>
                <w:b/>
                <w:bCs/>
              </w:rPr>
            </w:pPr>
            <w:r w:rsidRPr="000906D7">
              <w:rPr>
                <w:b/>
                <w:bCs/>
              </w:rPr>
              <w:t xml:space="preserve">                              295 </w:t>
            </w:r>
          </w:p>
        </w:tc>
        <w:tc>
          <w:tcPr>
            <w:tcW w:w="1492" w:type="dxa"/>
            <w:noWrap/>
            <w:hideMark/>
          </w:tcPr>
          <w:p w:rsidR="00C9417B" w:rsidRPr="000906D7" w:rsidRDefault="00C9417B" w:rsidP="00C9417B">
            <w:pPr>
              <w:jc w:val="right"/>
            </w:pPr>
            <w:r w:rsidRPr="000906D7">
              <w:t xml:space="preserve">                        3,097 </w:t>
            </w:r>
          </w:p>
        </w:tc>
        <w:tc>
          <w:tcPr>
            <w:tcW w:w="1509" w:type="dxa"/>
            <w:noWrap/>
            <w:hideMark/>
          </w:tcPr>
          <w:p w:rsidR="00C9417B" w:rsidRPr="000906D7" w:rsidRDefault="00C9417B" w:rsidP="00C9417B">
            <w:pPr>
              <w:jc w:val="right"/>
              <w:rPr>
                <w:b/>
                <w:bCs/>
              </w:rPr>
            </w:pPr>
            <w:r w:rsidRPr="000906D7">
              <w:rPr>
                <w:b/>
                <w:bCs/>
              </w:rPr>
              <w:t xml:space="preserve">                          1,307 </w:t>
            </w:r>
          </w:p>
        </w:tc>
        <w:tc>
          <w:tcPr>
            <w:tcW w:w="1587" w:type="dxa"/>
            <w:noWrap/>
            <w:hideMark/>
          </w:tcPr>
          <w:p w:rsidR="00C9417B" w:rsidRPr="000906D7" w:rsidRDefault="00C9417B" w:rsidP="00C9417B">
            <w:pPr>
              <w:jc w:val="right"/>
            </w:pPr>
            <w:r w:rsidRPr="000906D7">
              <w:t xml:space="preserve">                            1,200 </w:t>
            </w:r>
          </w:p>
        </w:tc>
      </w:tr>
      <w:tr w:rsidR="00C9417B" w:rsidRPr="000906D7" w:rsidTr="00C9417B">
        <w:trPr>
          <w:trHeight w:val="288"/>
        </w:trPr>
        <w:tc>
          <w:tcPr>
            <w:tcW w:w="3227" w:type="dxa"/>
            <w:noWrap/>
            <w:hideMark/>
          </w:tcPr>
          <w:p w:rsidR="00C9417B" w:rsidRPr="000906D7" w:rsidRDefault="00C9417B" w:rsidP="00C9417B">
            <w:r w:rsidRPr="000906D7">
              <w:t>Property, plant and equipment</w:t>
            </w:r>
          </w:p>
        </w:tc>
        <w:tc>
          <w:tcPr>
            <w:tcW w:w="1535" w:type="dxa"/>
            <w:noWrap/>
            <w:hideMark/>
          </w:tcPr>
          <w:p w:rsidR="00C9417B" w:rsidRPr="000906D7" w:rsidRDefault="00C9417B" w:rsidP="00C9417B">
            <w:pPr>
              <w:jc w:val="right"/>
              <w:rPr>
                <w:b/>
                <w:bCs/>
              </w:rPr>
            </w:pPr>
            <w:r w:rsidRPr="000906D7">
              <w:rPr>
                <w:b/>
                <w:bCs/>
              </w:rPr>
              <w:t xml:space="preserve">                           2,722 </w:t>
            </w:r>
          </w:p>
        </w:tc>
        <w:tc>
          <w:tcPr>
            <w:tcW w:w="1492" w:type="dxa"/>
            <w:noWrap/>
            <w:hideMark/>
          </w:tcPr>
          <w:p w:rsidR="00C9417B" w:rsidRPr="000906D7" w:rsidRDefault="00C9417B" w:rsidP="00C9417B">
            <w:pPr>
              <w:jc w:val="right"/>
            </w:pPr>
            <w:r w:rsidRPr="000906D7">
              <w:t xml:space="preserve">                        3,100 </w:t>
            </w:r>
          </w:p>
        </w:tc>
        <w:tc>
          <w:tcPr>
            <w:tcW w:w="1509" w:type="dxa"/>
            <w:noWrap/>
            <w:hideMark/>
          </w:tcPr>
          <w:p w:rsidR="00C9417B" w:rsidRPr="000906D7" w:rsidRDefault="00C9417B" w:rsidP="00C9417B">
            <w:pPr>
              <w:jc w:val="right"/>
              <w:rPr>
                <w:b/>
                <w:bCs/>
              </w:rPr>
            </w:pPr>
            <w:r w:rsidRPr="000906D7">
              <w:rPr>
                <w:b/>
                <w:bCs/>
              </w:rPr>
              <w:t xml:space="preserve">                          5,067 </w:t>
            </w:r>
          </w:p>
        </w:tc>
        <w:tc>
          <w:tcPr>
            <w:tcW w:w="1587" w:type="dxa"/>
            <w:noWrap/>
            <w:hideMark/>
          </w:tcPr>
          <w:p w:rsidR="00C9417B" w:rsidRPr="000906D7" w:rsidRDefault="00C9417B" w:rsidP="00C9417B">
            <w:pPr>
              <w:jc w:val="right"/>
            </w:pPr>
            <w:r w:rsidRPr="000906D7">
              <w:t xml:space="preserve">                            5,344 </w:t>
            </w:r>
          </w:p>
        </w:tc>
      </w:tr>
      <w:tr w:rsidR="00C9417B" w:rsidRPr="000906D7" w:rsidTr="00C9417B">
        <w:trPr>
          <w:trHeight w:val="288"/>
        </w:trPr>
        <w:tc>
          <w:tcPr>
            <w:tcW w:w="3227" w:type="dxa"/>
            <w:noWrap/>
            <w:hideMark/>
          </w:tcPr>
          <w:p w:rsidR="00C9417B" w:rsidRPr="000906D7" w:rsidRDefault="00C9417B" w:rsidP="00C9417B">
            <w:r w:rsidRPr="000906D7">
              <w:t>Other assets</w:t>
            </w:r>
          </w:p>
        </w:tc>
        <w:tc>
          <w:tcPr>
            <w:tcW w:w="1535" w:type="dxa"/>
            <w:noWrap/>
            <w:hideMark/>
          </w:tcPr>
          <w:p w:rsidR="00C9417B" w:rsidRPr="000906D7" w:rsidRDefault="00C9417B" w:rsidP="00C9417B">
            <w:pPr>
              <w:jc w:val="right"/>
              <w:rPr>
                <w:b/>
                <w:bCs/>
              </w:rPr>
            </w:pPr>
            <w:r w:rsidRPr="000906D7">
              <w:rPr>
                <w:b/>
                <w:bCs/>
              </w:rPr>
              <w:t xml:space="preserve">                           6,826 </w:t>
            </w:r>
          </w:p>
        </w:tc>
        <w:tc>
          <w:tcPr>
            <w:tcW w:w="1492" w:type="dxa"/>
            <w:noWrap/>
            <w:hideMark/>
          </w:tcPr>
          <w:p w:rsidR="00C9417B" w:rsidRPr="000906D7" w:rsidRDefault="00C9417B" w:rsidP="00C9417B">
            <w:pPr>
              <w:jc w:val="right"/>
            </w:pPr>
            <w:r w:rsidRPr="000906D7">
              <w:t xml:space="preserve">                    171,073 </w:t>
            </w:r>
          </w:p>
        </w:tc>
        <w:tc>
          <w:tcPr>
            <w:tcW w:w="1509" w:type="dxa"/>
            <w:noWrap/>
            <w:hideMark/>
          </w:tcPr>
          <w:p w:rsidR="00C9417B" w:rsidRPr="000906D7" w:rsidRDefault="00C9417B" w:rsidP="00C9417B">
            <w:pPr>
              <w:jc w:val="right"/>
              <w:rPr>
                <w:b/>
                <w:bCs/>
              </w:rPr>
            </w:pPr>
            <w:r w:rsidRPr="000906D7">
              <w:rPr>
                <w:b/>
                <w:bCs/>
              </w:rPr>
              <w:t xml:space="preserve">                        10,776 </w:t>
            </w:r>
          </w:p>
        </w:tc>
        <w:tc>
          <w:tcPr>
            <w:tcW w:w="1587" w:type="dxa"/>
            <w:noWrap/>
            <w:hideMark/>
          </w:tcPr>
          <w:p w:rsidR="00C9417B" w:rsidRPr="000906D7" w:rsidRDefault="00C9417B" w:rsidP="00C9417B">
            <w:pPr>
              <w:jc w:val="right"/>
            </w:pPr>
            <w:r w:rsidRPr="000906D7">
              <w:t xml:space="preserve">                            7,766 </w:t>
            </w:r>
          </w:p>
        </w:tc>
      </w:tr>
      <w:tr w:rsidR="00C9417B" w:rsidRPr="000906D7" w:rsidTr="00C9417B">
        <w:trPr>
          <w:trHeight w:val="300"/>
        </w:trPr>
        <w:tc>
          <w:tcPr>
            <w:tcW w:w="3227" w:type="dxa"/>
            <w:noWrap/>
            <w:hideMark/>
          </w:tcPr>
          <w:p w:rsidR="00C9417B" w:rsidRPr="000906D7" w:rsidRDefault="00C9417B" w:rsidP="00C9417B">
            <w:pPr>
              <w:rPr>
                <w:b/>
                <w:bCs/>
              </w:rPr>
            </w:pPr>
            <w:r w:rsidRPr="000906D7">
              <w:rPr>
                <w:b/>
                <w:bCs/>
              </w:rPr>
              <w:t>Total assets</w:t>
            </w:r>
          </w:p>
        </w:tc>
        <w:tc>
          <w:tcPr>
            <w:tcW w:w="1535" w:type="dxa"/>
            <w:noWrap/>
            <w:hideMark/>
          </w:tcPr>
          <w:p w:rsidR="00C9417B" w:rsidRPr="000906D7" w:rsidRDefault="00C9417B" w:rsidP="00C9417B">
            <w:pPr>
              <w:jc w:val="right"/>
              <w:rPr>
                <w:b/>
                <w:bCs/>
              </w:rPr>
            </w:pPr>
            <w:r w:rsidRPr="000906D7">
              <w:rPr>
                <w:b/>
                <w:bCs/>
              </w:rPr>
              <w:t xml:space="preserve">                       159,852 </w:t>
            </w:r>
          </w:p>
        </w:tc>
        <w:tc>
          <w:tcPr>
            <w:tcW w:w="1492" w:type="dxa"/>
            <w:noWrap/>
            <w:hideMark/>
          </w:tcPr>
          <w:p w:rsidR="00C9417B" w:rsidRPr="000906D7" w:rsidRDefault="00C9417B" w:rsidP="00C9417B">
            <w:pPr>
              <w:jc w:val="right"/>
            </w:pPr>
            <w:r w:rsidRPr="000906D7">
              <w:t xml:space="preserve">                    171,073 </w:t>
            </w:r>
          </w:p>
        </w:tc>
        <w:tc>
          <w:tcPr>
            <w:tcW w:w="1509" w:type="dxa"/>
            <w:noWrap/>
            <w:hideMark/>
          </w:tcPr>
          <w:p w:rsidR="00C9417B" w:rsidRPr="000906D7" w:rsidRDefault="00C9417B" w:rsidP="00C9417B">
            <w:pPr>
              <w:jc w:val="right"/>
              <w:rPr>
                <w:b/>
                <w:bCs/>
              </w:rPr>
            </w:pPr>
            <w:r w:rsidRPr="000906D7">
              <w:rPr>
                <w:b/>
                <w:bCs/>
              </w:rPr>
              <w:t xml:space="preserve">                       185,258 </w:t>
            </w:r>
          </w:p>
        </w:tc>
        <w:tc>
          <w:tcPr>
            <w:tcW w:w="1587" w:type="dxa"/>
            <w:noWrap/>
            <w:hideMark/>
          </w:tcPr>
          <w:p w:rsidR="00C9417B" w:rsidRPr="000906D7" w:rsidRDefault="00C9417B" w:rsidP="00C9417B">
            <w:pPr>
              <w:jc w:val="right"/>
            </w:pPr>
            <w:r w:rsidRPr="000906D7">
              <w:t xml:space="preserve">                         194,377 </w:t>
            </w:r>
          </w:p>
        </w:tc>
      </w:tr>
      <w:tr w:rsidR="00C9417B" w:rsidRPr="000906D7" w:rsidTr="00C9417B">
        <w:trPr>
          <w:trHeight w:val="288"/>
        </w:trPr>
        <w:tc>
          <w:tcPr>
            <w:tcW w:w="3227" w:type="dxa"/>
            <w:noWrap/>
            <w:hideMark/>
          </w:tcPr>
          <w:p w:rsidR="00C9417B" w:rsidRPr="000906D7" w:rsidRDefault="00C9417B" w:rsidP="00C9417B">
            <w:r w:rsidRPr="000906D7">
              <w:t> </w:t>
            </w:r>
          </w:p>
        </w:tc>
        <w:tc>
          <w:tcPr>
            <w:tcW w:w="1535" w:type="dxa"/>
            <w:noWrap/>
            <w:hideMark/>
          </w:tcPr>
          <w:p w:rsidR="00C9417B" w:rsidRPr="000906D7" w:rsidRDefault="00C9417B" w:rsidP="00C9417B">
            <w:pPr>
              <w:jc w:val="right"/>
            </w:pPr>
            <w:r w:rsidRPr="000906D7">
              <w:t> </w:t>
            </w:r>
          </w:p>
        </w:tc>
        <w:tc>
          <w:tcPr>
            <w:tcW w:w="1492" w:type="dxa"/>
            <w:noWrap/>
            <w:hideMark/>
          </w:tcPr>
          <w:p w:rsidR="00C9417B" w:rsidRPr="000906D7" w:rsidRDefault="00C9417B" w:rsidP="00C9417B">
            <w:pPr>
              <w:jc w:val="right"/>
            </w:pPr>
            <w:r w:rsidRPr="000906D7">
              <w:t> </w:t>
            </w:r>
          </w:p>
        </w:tc>
        <w:tc>
          <w:tcPr>
            <w:tcW w:w="1509" w:type="dxa"/>
            <w:noWrap/>
            <w:hideMark/>
          </w:tcPr>
          <w:p w:rsidR="00C9417B" w:rsidRPr="000906D7" w:rsidRDefault="00C9417B" w:rsidP="00C9417B">
            <w:pPr>
              <w:jc w:val="right"/>
              <w:rPr>
                <w:b/>
                <w:bCs/>
              </w:rPr>
            </w:pPr>
            <w:r w:rsidRPr="000906D7">
              <w:rPr>
                <w:b/>
                <w:bCs/>
              </w:rPr>
              <w:t> </w:t>
            </w:r>
          </w:p>
        </w:tc>
        <w:tc>
          <w:tcPr>
            <w:tcW w:w="1587" w:type="dxa"/>
            <w:noWrap/>
            <w:hideMark/>
          </w:tcPr>
          <w:p w:rsidR="00C9417B" w:rsidRPr="000906D7" w:rsidRDefault="00C9417B" w:rsidP="00C9417B">
            <w:pPr>
              <w:jc w:val="right"/>
            </w:pPr>
            <w:r w:rsidRPr="000906D7">
              <w:t> </w:t>
            </w:r>
          </w:p>
        </w:tc>
      </w:tr>
      <w:tr w:rsidR="00C9417B" w:rsidRPr="000906D7" w:rsidTr="00C9417B">
        <w:trPr>
          <w:trHeight w:val="288"/>
        </w:trPr>
        <w:tc>
          <w:tcPr>
            <w:tcW w:w="3227" w:type="dxa"/>
            <w:noWrap/>
            <w:hideMark/>
          </w:tcPr>
          <w:p w:rsidR="00C9417B" w:rsidRPr="000906D7" w:rsidRDefault="00C9417B" w:rsidP="00C9417B">
            <w:pPr>
              <w:rPr>
                <w:b/>
                <w:bCs/>
              </w:rPr>
            </w:pPr>
            <w:r w:rsidRPr="000906D7">
              <w:rPr>
                <w:b/>
                <w:bCs/>
              </w:rPr>
              <w:t>Liabilities</w:t>
            </w:r>
          </w:p>
        </w:tc>
        <w:tc>
          <w:tcPr>
            <w:tcW w:w="1535" w:type="dxa"/>
            <w:noWrap/>
            <w:hideMark/>
          </w:tcPr>
          <w:p w:rsidR="00C9417B" w:rsidRPr="000906D7" w:rsidRDefault="00C9417B" w:rsidP="00C9417B">
            <w:pPr>
              <w:jc w:val="right"/>
            </w:pPr>
            <w:r w:rsidRPr="000906D7">
              <w:t> </w:t>
            </w:r>
          </w:p>
        </w:tc>
        <w:tc>
          <w:tcPr>
            <w:tcW w:w="1492" w:type="dxa"/>
            <w:noWrap/>
            <w:hideMark/>
          </w:tcPr>
          <w:p w:rsidR="00C9417B" w:rsidRPr="000906D7" w:rsidRDefault="00C9417B" w:rsidP="00C9417B">
            <w:pPr>
              <w:jc w:val="right"/>
            </w:pPr>
            <w:r w:rsidRPr="000906D7">
              <w:t> </w:t>
            </w:r>
          </w:p>
        </w:tc>
        <w:tc>
          <w:tcPr>
            <w:tcW w:w="1509" w:type="dxa"/>
            <w:noWrap/>
            <w:hideMark/>
          </w:tcPr>
          <w:p w:rsidR="00C9417B" w:rsidRPr="000906D7" w:rsidRDefault="00C9417B" w:rsidP="00C9417B">
            <w:pPr>
              <w:jc w:val="right"/>
              <w:rPr>
                <w:b/>
                <w:bCs/>
              </w:rPr>
            </w:pPr>
            <w:r w:rsidRPr="000906D7">
              <w:rPr>
                <w:b/>
                <w:bCs/>
              </w:rPr>
              <w:t> </w:t>
            </w:r>
          </w:p>
        </w:tc>
        <w:tc>
          <w:tcPr>
            <w:tcW w:w="1587" w:type="dxa"/>
            <w:noWrap/>
            <w:hideMark/>
          </w:tcPr>
          <w:p w:rsidR="00C9417B" w:rsidRPr="000906D7" w:rsidRDefault="00C9417B" w:rsidP="00C9417B">
            <w:pPr>
              <w:jc w:val="right"/>
            </w:pPr>
            <w:r w:rsidRPr="000906D7">
              <w:t> </w:t>
            </w:r>
          </w:p>
        </w:tc>
      </w:tr>
      <w:tr w:rsidR="00C9417B" w:rsidRPr="000906D7" w:rsidTr="00C9417B">
        <w:trPr>
          <w:trHeight w:val="288"/>
        </w:trPr>
        <w:tc>
          <w:tcPr>
            <w:tcW w:w="3227" w:type="dxa"/>
            <w:noWrap/>
            <w:hideMark/>
          </w:tcPr>
          <w:p w:rsidR="00C9417B" w:rsidRPr="000906D7" w:rsidRDefault="00C9417B" w:rsidP="00C9417B">
            <w:r w:rsidRPr="000906D7">
              <w:t xml:space="preserve">Due to banks </w:t>
            </w:r>
          </w:p>
        </w:tc>
        <w:tc>
          <w:tcPr>
            <w:tcW w:w="1535" w:type="dxa"/>
            <w:noWrap/>
            <w:hideMark/>
          </w:tcPr>
          <w:p w:rsidR="00C9417B" w:rsidRPr="000906D7" w:rsidRDefault="00C9417B" w:rsidP="00C9417B">
            <w:pPr>
              <w:jc w:val="right"/>
              <w:rPr>
                <w:b/>
                <w:bCs/>
              </w:rPr>
            </w:pPr>
            <w:r w:rsidRPr="000906D7">
              <w:rPr>
                <w:b/>
                <w:bCs/>
              </w:rPr>
              <w:t xml:space="preserve">                           2,263 </w:t>
            </w:r>
          </w:p>
        </w:tc>
        <w:tc>
          <w:tcPr>
            <w:tcW w:w="1492" w:type="dxa"/>
            <w:noWrap/>
            <w:hideMark/>
          </w:tcPr>
          <w:p w:rsidR="00C9417B" w:rsidRPr="000906D7" w:rsidRDefault="00C9417B" w:rsidP="00C9417B">
            <w:pPr>
              <w:jc w:val="right"/>
            </w:pPr>
            <w:r w:rsidRPr="000906D7">
              <w:t xml:space="preserve">                        7,725 </w:t>
            </w:r>
          </w:p>
        </w:tc>
        <w:tc>
          <w:tcPr>
            <w:tcW w:w="1509" w:type="dxa"/>
            <w:noWrap/>
            <w:hideMark/>
          </w:tcPr>
          <w:p w:rsidR="00C9417B" w:rsidRPr="000906D7" w:rsidRDefault="00C9417B" w:rsidP="00C9417B">
            <w:pPr>
              <w:jc w:val="right"/>
              <w:rPr>
                <w:b/>
                <w:bCs/>
              </w:rPr>
            </w:pPr>
            <w:r w:rsidRPr="000906D7">
              <w:rPr>
                <w:b/>
                <w:bCs/>
              </w:rPr>
              <w:t xml:space="preserve">                          7,181 </w:t>
            </w:r>
          </w:p>
        </w:tc>
        <w:tc>
          <w:tcPr>
            <w:tcW w:w="1587" w:type="dxa"/>
            <w:noWrap/>
            <w:hideMark/>
          </w:tcPr>
          <w:p w:rsidR="00C9417B" w:rsidRPr="000906D7" w:rsidRDefault="00C9417B" w:rsidP="00C9417B">
            <w:pPr>
              <w:jc w:val="right"/>
            </w:pPr>
            <w:r w:rsidRPr="000906D7">
              <w:t xml:space="preserve">                           11,069 </w:t>
            </w:r>
          </w:p>
        </w:tc>
      </w:tr>
      <w:tr w:rsidR="00C9417B" w:rsidRPr="000906D7" w:rsidTr="00C9417B">
        <w:trPr>
          <w:trHeight w:val="288"/>
        </w:trPr>
        <w:tc>
          <w:tcPr>
            <w:tcW w:w="3227" w:type="dxa"/>
            <w:noWrap/>
            <w:hideMark/>
          </w:tcPr>
          <w:p w:rsidR="00C9417B" w:rsidRPr="000906D7" w:rsidRDefault="00C9417B" w:rsidP="00C9417B">
            <w:r w:rsidRPr="000906D7">
              <w:t>Due from related parties</w:t>
            </w:r>
          </w:p>
        </w:tc>
        <w:tc>
          <w:tcPr>
            <w:tcW w:w="1535" w:type="dxa"/>
            <w:noWrap/>
            <w:hideMark/>
          </w:tcPr>
          <w:p w:rsidR="00C9417B" w:rsidRPr="000906D7" w:rsidRDefault="00C9417B" w:rsidP="00C9417B">
            <w:pPr>
              <w:jc w:val="right"/>
              <w:rPr>
                <w:b/>
                <w:bCs/>
              </w:rPr>
            </w:pPr>
            <w:r w:rsidRPr="000906D7">
              <w:rPr>
                <w:b/>
                <w:bCs/>
              </w:rPr>
              <w:t xml:space="preserve">                                  - </w:t>
            </w:r>
          </w:p>
        </w:tc>
        <w:tc>
          <w:tcPr>
            <w:tcW w:w="1492" w:type="dxa"/>
            <w:noWrap/>
            <w:hideMark/>
          </w:tcPr>
          <w:p w:rsidR="00C9417B" w:rsidRPr="000906D7" w:rsidRDefault="00C9417B" w:rsidP="00C9417B">
            <w:pPr>
              <w:jc w:val="right"/>
            </w:pPr>
            <w:r w:rsidRPr="000906D7">
              <w:t xml:space="preserve">                               - </w:t>
            </w:r>
          </w:p>
        </w:tc>
        <w:tc>
          <w:tcPr>
            <w:tcW w:w="1509" w:type="dxa"/>
            <w:noWrap/>
            <w:hideMark/>
          </w:tcPr>
          <w:p w:rsidR="00C9417B" w:rsidRPr="000906D7" w:rsidRDefault="00C9417B" w:rsidP="00C9417B">
            <w:pPr>
              <w:jc w:val="right"/>
              <w:rPr>
                <w:b/>
                <w:bCs/>
              </w:rPr>
            </w:pPr>
            <w:r w:rsidRPr="000906D7">
              <w:rPr>
                <w:b/>
                <w:bCs/>
              </w:rPr>
              <w:t xml:space="preserve">                                 - </w:t>
            </w:r>
          </w:p>
        </w:tc>
        <w:tc>
          <w:tcPr>
            <w:tcW w:w="1587" w:type="dxa"/>
            <w:noWrap/>
            <w:hideMark/>
          </w:tcPr>
          <w:p w:rsidR="00C9417B" w:rsidRPr="000906D7" w:rsidRDefault="00C9417B" w:rsidP="00C9417B">
            <w:pPr>
              <w:jc w:val="right"/>
            </w:pPr>
            <w:r w:rsidRPr="000906D7">
              <w:t xml:space="preserve">                                   - </w:t>
            </w:r>
          </w:p>
        </w:tc>
      </w:tr>
      <w:tr w:rsidR="00C9417B" w:rsidRPr="000906D7" w:rsidTr="00C9417B">
        <w:trPr>
          <w:trHeight w:val="288"/>
        </w:trPr>
        <w:tc>
          <w:tcPr>
            <w:tcW w:w="3227" w:type="dxa"/>
            <w:noWrap/>
            <w:hideMark/>
          </w:tcPr>
          <w:p w:rsidR="00C9417B" w:rsidRPr="000906D7" w:rsidRDefault="00C9417B" w:rsidP="00C9417B">
            <w:r w:rsidRPr="000906D7">
              <w:t>Deposits from Customers</w:t>
            </w:r>
          </w:p>
        </w:tc>
        <w:tc>
          <w:tcPr>
            <w:tcW w:w="1535" w:type="dxa"/>
            <w:noWrap/>
            <w:hideMark/>
          </w:tcPr>
          <w:p w:rsidR="00C9417B" w:rsidRPr="000906D7" w:rsidRDefault="00C9417B" w:rsidP="00C9417B">
            <w:pPr>
              <w:jc w:val="right"/>
              <w:rPr>
                <w:b/>
                <w:bCs/>
              </w:rPr>
            </w:pPr>
            <w:r w:rsidRPr="000906D7">
              <w:rPr>
                <w:b/>
                <w:bCs/>
              </w:rPr>
              <w:t xml:space="preserve">                         97,438 </w:t>
            </w:r>
          </w:p>
        </w:tc>
        <w:tc>
          <w:tcPr>
            <w:tcW w:w="1492" w:type="dxa"/>
            <w:noWrap/>
            <w:hideMark/>
          </w:tcPr>
          <w:p w:rsidR="00C9417B" w:rsidRPr="000906D7" w:rsidRDefault="00C9417B" w:rsidP="00C9417B">
            <w:pPr>
              <w:jc w:val="right"/>
            </w:pPr>
            <w:r w:rsidRPr="000906D7">
              <w:t xml:space="preserve">                    100,935 </w:t>
            </w:r>
          </w:p>
        </w:tc>
        <w:tc>
          <w:tcPr>
            <w:tcW w:w="1509" w:type="dxa"/>
            <w:noWrap/>
            <w:hideMark/>
          </w:tcPr>
          <w:p w:rsidR="00C9417B" w:rsidRPr="000906D7" w:rsidRDefault="00C9417B" w:rsidP="00C9417B">
            <w:pPr>
              <w:jc w:val="right"/>
              <w:rPr>
                <w:b/>
                <w:bCs/>
              </w:rPr>
            </w:pPr>
            <w:r w:rsidRPr="000906D7">
              <w:rPr>
                <w:b/>
                <w:bCs/>
              </w:rPr>
              <w:t xml:space="preserve">                       103,843 </w:t>
            </w:r>
          </w:p>
        </w:tc>
        <w:tc>
          <w:tcPr>
            <w:tcW w:w="1587" w:type="dxa"/>
            <w:noWrap/>
            <w:hideMark/>
          </w:tcPr>
          <w:p w:rsidR="00C9417B" w:rsidRPr="000906D7" w:rsidRDefault="00C9417B" w:rsidP="00C9417B">
            <w:pPr>
              <w:jc w:val="right"/>
            </w:pPr>
            <w:r w:rsidRPr="000906D7">
              <w:t xml:space="preserve">                         107,980 </w:t>
            </w:r>
          </w:p>
        </w:tc>
      </w:tr>
      <w:tr w:rsidR="00C9417B" w:rsidRPr="000906D7" w:rsidTr="00C9417B">
        <w:trPr>
          <w:trHeight w:val="288"/>
        </w:trPr>
        <w:tc>
          <w:tcPr>
            <w:tcW w:w="3227" w:type="dxa"/>
            <w:noWrap/>
            <w:hideMark/>
          </w:tcPr>
          <w:p w:rsidR="00C9417B" w:rsidRPr="000906D7" w:rsidRDefault="00C9417B" w:rsidP="00C9417B">
            <w:r w:rsidRPr="000906D7">
              <w:t>Other borrowings</w:t>
            </w:r>
          </w:p>
        </w:tc>
        <w:tc>
          <w:tcPr>
            <w:tcW w:w="1535" w:type="dxa"/>
            <w:noWrap/>
            <w:hideMark/>
          </w:tcPr>
          <w:p w:rsidR="00C9417B" w:rsidRPr="000906D7" w:rsidRDefault="00C9417B" w:rsidP="00C9417B">
            <w:pPr>
              <w:jc w:val="right"/>
              <w:rPr>
                <w:b/>
                <w:bCs/>
              </w:rPr>
            </w:pPr>
            <w:r w:rsidRPr="000906D7">
              <w:rPr>
                <w:b/>
                <w:bCs/>
              </w:rPr>
              <w:t xml:space="preserve">                         11,032 </w:t>
            </w:r>
          </w:p>
        </w:tc>
        <w:tc>
          <w:tcPr>
            <w:tcW w:w="1492" w:type="dxa"/>
            <w:noWrap/>
            <w:hideMark/>
          </w:tcPr>
          <w:p w:rsidR="00C9417B" w:rsidRPr="000906D7" w:rsidRDefault="00C9417B" w:rsidP="00C9417B">
            <w:pPr>
              <w:jc w:val="right"/>
            </w:pPr>
            <w:r w:rsidRPr="000906D7">
              <w:t xml:space="preserve">                      16,706 </w:t>
            </w:r>
          </w:p>
        </w:tc>
        <w:tc>
          <w:tcPr>
            <w:tcW w:w="1509" w:type="dxa"/>
            <w:noWrap/>
            <w:hideMark/>
          </w:tcPr>
          <w:p w:rsidR="00C9417B" w:rsidRPr="000906D7" w:rsidRDefault="00C9417B" w:rsidP="00C9417B">
            <w:pPr>
              <w:jc w:val="right"/>
              <w:rPr>
                <w:b/>
                <w:bCs/>
              </w:rPr>
            </w:pPr>
            <w:r w:rsidRPr="000906D7">
              <w:rPr>
                <w:b/>
                <w:bCs/>
              </w:rPr>
              <w:t xml:space="preserve">                        11,032 </w:t>
            </w:r>
          </w:p>
        </w:tc>
        <w:tc>
          <w:tcPr>
            <w:tcW w:w="1587" w:type="dxa"/>
            <w:noWrap/>
            <w:hideMark/>
          </w:tcPr>
          <w:p w:rsidR="00C9417B" w:rsidRPr="000906D7" w:rsidRDefault="00C9417B" w:rsidP="00C9417B">
            <w:pPr>
              <w:jc w:val="right"/>
            </w:pPr>
            <w:r w:rsidRPr="000906D7">
              <w:t xml:space="preserve">                           16,565 </w:t>
            </w:r>
          </w:p>
        </w:tc>
      </w:tr>
      <w:tr w:rsidR="00C9417B" w:rsidRPr="000906D7" w:rsidTr="00C9417B">
        <w:trPr>
          <w:trHeight w:val="288"/>
        </w:trPr>
        <w:tc>
          <w:tcPr>
            <w:tcW w:w="3227" w:type="dxa"/>
            <w:noWrap/>
            <w:hideMark/>
          </w:tcPr>
          <w:p w:rsidR="00C9417B" w:rsidRPr="000906D7" w:rsidRDefault="00C9417B" w:rsidP="00C9417B">
            <w:r w:rsidRPr="000906D7">
              <w:t>Other liabilities</w:t>
            </w:r>
          </w:p>
        </w:tc>
        <w:tc>
          <w:tcPr>
            <w:tcW w:w="1535" w:type="dxa"/>
            <w:noWrap/>
            <w:hideMark/>
          </w:tcPr>
          <w:p w:rsidR="00C9417B" w:rsidRPr="000906D7" w:rsidRDefault="00C9417B" w:rsidP="00C9417B">
            <w:pPr>
              <w:jc w:val="right"/>
              <w:rPr>
                <w:b/>
                <w:bCs/>
              </w:rPr>
            </w:pPr>
            <w:r w:rsidRPr="000906D7">
              <w:rPr>
                <w:b/>
                <w:bCs/>
              </w:rPr>
              <w:t xml:space="preserve">                           7,293 </w:t>
            </w:r>
          </w:p>
        </w:tc>
        <w:tc>
          <w:tcPr>
            <w:tcW w:w="1492" w:type="dxa"/>
            <w:noWrap/>
            <w:hideMark/>
          </w:tcPr>
          <w:p w:rsidR="00C9417B" w:rsidRPr="000906D7" w:rsidRDefault="00C9417B" w:rsidP="00C9417B">
            <w:pPr>
              <w:jc w:val="right"/>
            </w:pPr>
            <w:r w:rsidRPr="000906D7">
              <w:t xml:space="preserve">                        5,915 </w:t>
            </w:r>
          </w:p>
        </w:tc>
        <w:tc>
          <w:tcPr>
            <w:tcW w:w="1509" w:type="dxa"/>
            <w:noWrap/>
            <w:hideMark/>
          </w:tcPr>
          <w:p w:rsidR="00C9417B" w:rsidRPr="000906D7" w:rsidRDefault="00C9417B" w:rsidP="00C9417B">
            <w:pPr>
              <w:jc w:val="right"/>
              <w:rPr>
                <w:b/>
                <w:bCs/>
              </w:rPr>
            </w:pPr>
            <w:r w:rsidRPr="000906D7">
              <w:rPr>
                <w:b/>
                <w:bCs/>
              </w:rPr>
              <w:t xml:space="preserve">                        14,056 </w:t>
            </w:r>
          </w:p>
        </w:tc>
        <w:tc>
          <w:tcPr>
            <w:tcW w:w="1587" w:type="dxa"/>
            <w:noWrap/>
            <w:hideMark/>
          </w:tcPr>
          <w:p w:rsidR="00C9417B" w:rsidRPr="000906D7" w:rsidRDefault="00C9417B" w:rsidP="00C9417B">
            <w:pPr>
              <w:jc w:val="right"/>
            </w:pPr>
            <w:r w:rsidRPr="000906D7">
              <w:t xml:space="preserve">                           11,759 </w:t>
            </w:r>
          </w:p>
        </w:tc>
      </w:tr>
      <w:tr w:rsidR="00C9417B" w:rsidRPr="000906D7" w:rsidTr="00C9417B">
        <w:trPr>
          <w:trHeight w:val="300"/>
        </w:trPr>
        <w:tc>
          <w:tcPr>
            <w:tcW w:w="3227" w:type="dxa"/>
            <w:noWrap/>
            <w:hideMark/>
          </w:tcPr>
          <w:p w:rsidR="00C9417B" w:rsidRPr="000906D7" w:rsidRDefault="00C9417B" w:rsidP="00C9417B">
            <w:pPr>
              <w:rPr>
                <w:b/>
                <w:bCs/>
              </w:rPr>
            </w:pPr>
            <w:r w:rsidRPr="000906D7">
              <w:rPr>
                <w:b/>
                <w:bCs/>
              </w:rPr>
              <w:t>Total Liabilities</w:t>
            </w:r>
          </w:p>
        </w:tc>
        <w:tc>
          <w:tcPr>
            <w:tcW w:w="1535" w:type="dxa"/>
            <w:noWrap/>
            <w:hideMark/>
          </w:tcPr>
          <w:p w:rsidR="00C9417B" w:rsidRPr="000906D7" w:rsidRDefault="00C9417B" w:rsidP="00C9417B">
            <w:pPr>
              <w:jc w:val="right"/>
              <w:rPr>
                <w:b/>
                <w:bCs/>
              </w:rPr>
            </w:pPr>
            <w:r w:rsidRPr="000906D7">
              <w:rPr>
                <w:b/>
                <w:bCs/>
              </w:rPr>
              <w:t xml:space="preserve">                       118,026 </w:t>
            </w:r>
          </w:p>
        </w:tc>
        <w:tc>
          <w:tcPr>
            <w:tcW w:w="1492" w:type="dxa"/>
            <w:noWrap/>
            <w:hideMark/>
          </w:tcPr>
          <w:p w:rsidR="00C9417B" w:rsidRPr="000906D7" w:rsidRDefault="00C9417B" w:rsidP="00C9417B">
            <w:pPr>
              <w:jc w:val="right"/>
            </w:pPr>
            <w:r w:rsidRPr="000906D7">
              <w:t xml:space="preserve">                    131,281 </w:t>
            </w:r>
          </w:p>
        </w:tc>
        <w:tc>
          <w:tcPr>
            <w:tcW w:w="1509" w:type="dxa"/>
            <w:noWrap/>
            <w:hideMark/>
          </w:tcPr>
          <w:p w:rsidR="00C9417B" w:rsidRPr="000906D7" w:rsidRDefault="00C9417B" w:rsidP="00C9417B">
            <w:pPr>
              <w:jc w:val="right"/>
              <w:rPr>
                <w:b/>
                <w:bCs/>
              </w:rPr>
            </w:pPr>
            <w:r w:rsidRPr="000906D7">
              <w:rPr>
                <w:b/>
                <w:bCs/>
              </w:rPr>
              <w:t xml:space="preserve">                       136,112 </w:t>
            </w:r>
          </w:p>
        </w:tc>
        <w:tc>
          <w:tcPr>
            <w:tcW w:w="1587" w:type="dxa"/>
            <w:noWrap/>
            <w:hideMark/>
          </w:tcPr>
          <w:p w:rsidR="00C9417B" w:rsidRPr="000906D7" w:rsidRDefault="00C9417B" w:rsidP="00C9417B">
            <w:pPr>
              <w:jc w:val="right"/>
            </w:pPr>
            <w:r w:rsidRPr="000906D7">
              <w:t xml:space="preserve">                         147,373 </w:t>
            </w:r>
          </w:p>
        </w:tc>
      </w:tr>
      <w:tr w:rsidR="00C9417B" w:rsidRPr="000906D7" w:rsidTr="00C9417B">
        <w:trPr>
          <w:trHeight w:val="288"/>
        </w:trPr>
        <w:tc>
          <w:tcPr>
            <w:tcW w:w="3227" w:type="dxa"/>
            <w:noWrap/>
            <w:hideMark/>
          </w:tcPr>
          <w:p w:rsidR="00C9417B" w:rsidRPr="000906D7" w:rsidRDefault="00C9417B" w:rsidP="00C9417B">
            <w:r w:rsidRPr="000906D7">
              <w:t> </w:t>
            </w:r>
          </w:p>
        </w:tc>
        <w:tc>
          <w:tcPr>
            <w:tcW w:w="1535" w:type="dxa"/>
            <w:noWrap/>
            <w:hideMark/>
          </w:tcPr>
          <w:p w:rsidR="00C9417B" w:rsidRPr="000906D7" w:rsidRDefault="00C9417B" w:rsidP="00C9417B">
            <w:pPr>
              <w:jc w:val="right"/>
            </w:pPr>
            <w:r w:rsidRPr="000906D7">
              <w:t> </w:t>
            </w:r>
          </w:p>
        </w:tc>
        <w:tc>
          <w:tcPr>
            <w:tcW w:w="1492" w:type="dxa"/>
            <w:noWrap/>
            <w:hideMark/>
          </w:tcPr>
          <w:p w:rsidR="00C9417B" w:rsidRPr="000906D7" w:rsidRDefault="00C9417B" w:rsidP="00C9417B">
            <w:pPr>
              <w:jc w:val="right"/>
            </w:pPr>
            <w:r w:rsidRPr="000906D7">
              <w:t> </w:t>
            </w:r>
          </w:p>
        </w:tc>
        <w:tc>
          <w:tcPr>
            <w:tcW w:w="1509" w:type="dxa"/>
            <w:noWrap/>
            <w:hideMark/>
          </w:tcPr>
          <w:p w:rsidR="00C9417B" w:rsidRPr="000906D7" w:rsidRDefault="00C9417B" w:rsidP="00C9417B">
            <w:pPr>
              <w:jc w:val="right"/>
            </w:pPr>
            <w:r w:rsidRPr="000906D7">
              <w:t> </w:t>
            </w:r>
          </w:p>
        </w:tc>
        <w:tc>
          <w:tcPr>
            <w:tcW w:w="1587" w:type="dxa"/>
            <w:noWrap/>
            <w:hideMark/>
          </w:tcPr>
          <w:p w:rsidR="00C9417B" w:rsidRPr="000906D7" w:rsidRDefault="00C9417B" w:rsidP="00C9417B">
            <w:pPr>
              <w:jc w:val="right"/>
            </w:pPr>
            <w:r w:rsidRPr="000906D7">
              <w:t> </w:t>
            </w:r>
          </w:p>
        </w:tc>
      </w:tr>
      <w:tr w:rsidR="00C9417B" w:rsidRPr="000906D7" w:rsidTr="00C9417B">
        <w:trPr>
          <w:trHeight w:val="288"/>
        </w:trPr>
        <w:tc>
          <w:tcPr>
            <w:tcW w:w="3227" w:type="dxa"/>
            <w:noWrap/>
            <w:hideMark/>
          </w:tcPr>
          <w:p w:rsidR="00C9417B" w:rsidRPr="000906D7" w:rsidRDefault="00C9417B" w:rsidP="00C9417B">
            <w:pPr>
              <w:rPr>
                <w:b/>
                <w:bCs/>
              </w:rPr>
            </w:pPr>
            <w:r w:rsidRPr="000906D7">
              <w:rPr>
                <w:b/>
                <w:bCs/>
              </w:rPr>
              <w:t>Equity</w:t>
            </w:r>
          </w:p>
        </w:tc>
        <w:tc>
          <w:tcPr>
            <w:tcW w:w="1535" w:type="dxa"/>
            <w:noWrap/>
            <w:hideMark/>
          </w:tcPr>
          <w:p w:rsidR="00C9417B" w:rsidRPr="000906D7" w:rsidRDefault="00C9417B" w:rsidP="00C9417B">
            <w:pPr>
              <w:jc w:val="right"/>
            </w:pPr>
            <w:r w:rsidRPr="000906D7">
              <w:t> </w:t>
            </w:r>
          </w:p>
        </w:tc>
        <w:tc>
          <w:tcPr>
            <w:tcW w:w="1492" w:type="dxa"/>
            <w:noWrap/>
            <w:hideMark/>
          </w:tcPr>
          <w:p w:rsidR="00C9417B" w:rsidRPr="000906D7" w:rsidRDefault="00C9417B" w:rsidP="00C9417B">
            <w:pPr>
              <w:jc w:val="right"/>
            </w:pPr>
            <w:r w:rsidRPr="000906D7">
              <w:t> </w:t>
            </w:r>
          </w:p>
        </w:tc>
        <w:tc>
          <w:tcPr>
            <w:tcW w:w="1509" w:type="dxa"/>
            <w:noWrap/>
            <w:hideMark/>
          </w:tcPr>
          <w:p w:rsidR="00C9417B" w:rsidRPr="000906D7" w:rsidRDefault="00C9417B" w:rsidP="00C9417B">
            <w:pPr>
              <w:jc w:val="right"/>
            </w:pPr>
            <w:r w:rsidRPr="000906D7">
              <w:t> </w:t>
            </w:r>
          </w:p>
        </w:tc>
        <w:tc>
          <w:tcPr>
            <w:tcW w:w="1587" w:type="dxa"/>
            <w:noWrap/>
            <w:hideMark/>
          </w:tcPr>
          <w:p w:rsidR="00C9417B" w:rsidRPr="000906D7" w:rsidRDefault="00C9417B" w:rsidP="00C9417B">
            <w:pPr>
              <w:jc w:val="right"/>
            </w:pPr>
            <w:r w:rsidRPr="000906D7">
              <w:t> </w:t>
            </w:r>
          </w:p>
        </w:tc>
      </w:tr>
      <w:tr w:rsidR="00C9417B" w:rsidRPr="000906D7" w:rsidTr="00C9417B">
        <w:trPr>
          <w:trHeight w:val="288"/>
        </w:trPr>
        <w:tc>
          <w:tcPr>
            <w:tcW w:w="3227" w:type="dxa"/>
            <w:noWrap/>
            <w:hideMark/>
          </w:tcPr>
          <w:p w:rsidR="00C9417B" w:rsidRPr="000906D7" w:rsidRDefault="00C9417B" w:rsidP="00C9417B">
            <w:r w:rsidRPr="000906D7">
              <w:t>Stated Capital</w:t>
            </w:r>
          </w:p>
        </w:tc>
        <w:tc>
          <w:tcPr>
            <w:tcW w:w="1535" w:type="dxa"/>
            <w:noWrap/>
            <w:hideMark/>
          </w:tcPr>
          <w:p w:rsidR="00C9417B" w:rsidRPr="000906D7" w:rsidRDefault="00C9417B" w:rsidP="00C9417B">
            <w:pPr>
              <w:jc w:val="right"/>
              <w:rPr>
                <w:b/>
                <w:bCs/>
              </w:rPr>
            </w:pPr>
            <w:r w:rsidRPr="000906D7">
              <w:rPr>
                <w:b/>
                <w:bCs/>
              </w:rPr>
              <w:t xml:space="preserve">                         19,230 </w:t>
            </w:r>
          </w:p>
        </w:tc>
        <w:tc>
          <w:tcPr>
            <w:tcW w:w="1492" w:type="dxa"/>
            <w:noWrap/>
            <w:hideMark/>
          </w:tcPr>
          <w:p w:rsidR="00C9417B" w:rsidRPr="000906D7" w:rsidRDefault="00C9417B" w:rsidP="00C9417B">
            <w:pPr>
              <w:jc w:val="right"/>
            </w:pPr>
            <w:r w:rsidRPr="000906D7">
              <w:t xml:space="preserve">                      18,016 </w:t>
            </w:r>
          </w:p>
        </w:tc>
        <w:tc>
          <w:tcPr>
            <w:tcW w:w="1509" w:type="dxa"/>
            <w:noWrap/>
            <w:hideMark/>
          </w:tcPr>
          <w:p w:rsidR="00C9417B" w:rsidRPr="000906D7" w:rsidRDefault="00C9417B" w:rsidP="00C9417B">
            <w:pPr>
              <w:jc w:val="right"/>
              <w:rPr>
                <w:b/>
                <w:bCs/>
              </w:rPr>
            </w:pPr>
            <w:r w:rsidRPr="000906D7">
              <w:rPr>
                <w:b/>
                <w:bCs/>
              </w:rPr>
              <w:t xml:space="preserve">                        19,230 </w:t>
            </w:r>
          </w:p>
        </w:tc>
        <w:tc>
          <w:tcPr>
            <w:tcW w:w="1587" w:type="dxa"/>
            <w:noWrap/>
            <w:hideMark/>
          </w:tcPr>
          <w:p w:rsidR="00C9417B" w:rsidRPr="000906D7" w:rsidRDefault="00C9417B" w:rsidP="00C9417B">
            <w:pPr>
              <w:jc w:val="right"/>
            </w:pPr>
            <w:r w:rsidRPr="000906D7">
              <w:t xml:space="preserve">                           18,016 </w:t>
            </w:r>
          </w:p>
        </w:tc>
      </w:tr>
      <w:tr w:rsidR="00C9417B" w:rsidRPr="000906D7" w:rsidTr="00C9417B">
        <w:trPr>
          <w:trHeight w:val="288"/>
        </w:trPr>
        <w:tc>
          <w:tcPr>
            <w:tcW w:w="3227" w:type="dxa"/>
            <w:noWrap/>
            <w:hideMark/>
          </w:tcPr>
          <w:p w:rsidR="00C9417B" w:rsidRPr="000906D7" w:rsidRDefault="00C9417B" w:rsidP="00C9417B">
            <w:r w:rsidRPr="000906D7">
              <w:t>Statutory Reserve Fund</w:t>
            </w:r>
          </w:p>
        </w:tc>
        <w:tc>
          <w:tcPr>
            <w:tcW w:w="1535" w:type="dxa"/>
            <w:noWrap/>
            <w:hideMark/>
          </w:tcPr>
          <w:p w:rsidR="00C9417B" w:rsidRPr="000906D7" w:rsidRDefault="00C9417B" w:rsidP="00C9417B">
            <w:pPr>
              <w:jc w:val="right"/>
              <w:rPr>
                <w:b/>
                <w:bCs/>
              </w:rPr>
            </w:pPr>
            <w:r w:rsidRPr="000906D7">
              <w:rPr>
                <w:b/>
                <w:bCs/>
              </w:rPr>
              <w:t xml:space="preserve">                           2,968 </w:t>
            </w:r>
          </w:p>
        </w:tc>
        <w:tc>
          <w:tcPr>
            <w:tcW w:w="1492" w:type="dxa"/>
            <w:noWrap/>
            <w:hideMark/>
          </w:tcPr>
          <w:p w:rsidR="00C9417B" w:rsidRPr="000906D7" w:rsidRDefault="00C9417B" w:rsidP="00C9417B">
            <w:pPr>
              <w:jc w:val="right"/>
            </w:pPr>
            <w:r w:rsidRPr="000906D7">
              <w:t xml:space="preserve">                        2,719 </w:t>
            </w:r>
          </w:p>
        </w:tc>
        <w:tc>
          <w:tcPr>
            <w:tcW w:w="1509" w:type="dxa"/>
            <w:noWrap/>
            <w:hideMark/>
          </w:tcPr>
          <w:p w:rsidR="00C9417B" w:rsidRPr="000906D7" w:rsidRDefault="00C9417B" w:rsidP="00C9417B">
            <w:pPr>
              <w:jc w:val="right"/>
              <w:rPr>
                <w:b/>
                <w:bCs/>
              </w:rPr>
            </w:pPr>
            <w:r w:rsidRPr="000906D7">
              <w:rPr>
                <w:b/>
                <w:bCs/>
              </w:rPr>
              <w:t xml:space="preserve">                          3,108 </w:t>
            </w:r>
          </w:p>
        </w:tc>
        <w:tc>
          <w:tcPr>
            <w:tcW w:w="1587" w:type="dxa"/>
            <w:noWrap/>
            <w:hideMark/>
          </w:tcPr>
          <w:p w:rsidR="00C9417B" w:rsidRPr="000906D7" w:rsidRDefault="00C9417B" w:rsidP="00C9417B">
            <w:pPr>
              <w:jc w:val="right"/>
            </w:pPr>
            <w:r w:rsidRPr="000906D7">
              <w:t xml:space="preserve">                            2,906 </w:t>
            </w:r>
          </w:p>
        </w:tc>
      </w:tr>
      <w:tr w:rsidR="00C9417B" w:rsidRPr="000906D7" w:rsidTr="00C9417B">
        <w:trPr>
          <w:trHeight w:val="288"/>
        </w:trPr>
        <w:tc>
          <w:tcPr>
            <w:tcW w:w="3227" w:type="dxa"/>
            <w:noWrap/>
            <w:hideMark/>
          </w:tcPr>
          <w:p w:rsidR="00C9417B" w:rsidRPr="000906D7" w:rsidRDefault="00C9417B" w:rsidP="00C9417B">
            <w:r w:rsidRPr="000906D7">
              <w:t>Retained capital</w:t>
            </w:r>
          </w:p>
        </w:tc>
        <w:tc>
          <w:tcPr>
            <w:tcW w:w="1535" w:type="dxa"/>
            <w:noWrap/>
            <w:hideMark/>
          </w:tcPr>
          <w:p w:rsidR="00C9417B" w:rsidRPr="000906D7" w:rsidRDefault="00C9417B" w:rsidP="00C9417B">
            <w:pPr>
              <w:jc w:val="right"/>
              <w:rPr>
                <w:b/>
                <w:bCs/>
              </w:rPr>
            </w:pPr>
            <w:r w:rsidRPr="000906D7">
              <w:rPr>
                <w:b/>
                <w:bCs/>
              </w:rPr>
              <w:t xml:space="preserve">                         19,885 </w:t>
            </w:r>
          </w:p>
        </w:tc>
        <w:tc>
          <w:tcPr>
            <w:tcW w:w="1492" w:type="dxa"/>
            <w:noWrap/>
            <w:hideMark/>
          </w:tcPr>
          <w:p w:rsidR="00C9417B" w:rsidRPr="000906D7" w:rsidRDefault="00C9417B" w:rsidP="00C9417B">
            <w:pPr>
              <w:jc w:val="right"/>
            </w:pPr>
            <w:r w:rsidRPr="000906D7">
              <w:t xml:space="preserve">                      19,556 </w:t>
            </w:r>
          </w:p>
        </w:tc>
        <w:tc>
          <w:tcPr>
            <w:tcW w:w="1509" w:type="dxa"/>
            <w:noWrap/>
            <w:hideMark/>
          </w:tcPr>
          <w:p w:rsidR="00C9417B" w:rsidRPr="000906D7" w:rsidRDefault="00C9417B" w:rsidP="00C9417B">
            <w:pPr>
              <w:jc w:val="right"/>
              <w:rPr>
                <w:b/>
                <w:bCs/>
              </w:rPr>
            </w:pPr>
            <w:r w:rsidRPr="000906D7">
              <w:rPr>
                <w:b/>
                <w:bCs/>
              </w:rPr>
              <w:t xml:space="preserve">                        23,976 </w:t>
            </w:r>
          </w:p>
        </w:tc>
        <w:tc>
          <w:tcPr>
            <w:tcW w:w="1587" w:type="dxa"/>
            <w:noWrap/>
            <w:hideMark/>
          </w:tcPr>
          <w:p w:rsidR="00C9417B" w:rsidRPr="000906D7" w:rsidRDefault="00C9417B" w:rsidP="00C9417B">
            <w:pPr>
              <w:jc w:val="right"/>
            </w:pPr>
            <w:r w:rsidRPr="000906D7">
              <w:t xml:space="preserve">                           23,248 </w:t>
            </w:r>
          </w:p>
        </w:tc>
      </w:tr>
      <w:tr w:rsidR="00C9417B" w:rsidRPr="000906D7" w:rsidTr="00C9417B">
        <w:trPr>
          <w:trHeight w:val="288"/>
        </w:trPr>
        <w:tc>
          <w:tcPr>
            <w:tcW w:w="3227" w:type="dxa"/>
            <w:noWrap/>
            <w:hideMark/>
          </w:tcPr>
          <w:p w:rsidR="00C9417B" w:rsidRPr="000906D7" w:rsidRDefault="00C9417B" w:rsidP="00C9417B">
            <w:r w:rsidRPr="000906D7">
              <w:t>Other Reserves</w:t>
            </w:r>
          </w:p>
        </w:tc>
        <w:tc>
          <w:tcPr>
            <w:tcW w:w="1535" w:type="dxa"/>
            <w:noWrap/>
            <w:hideMark/>
          </w:tcPr>
          <w:p w:rsidR="00C9417B" w:rsidRPr="000906D7" w:rsidRDefault="00C9417B" w:rsidP="00C9417B">
            <w:pPr>
              <w:jc w:val="right"/>
              <w:rPr>
                <w:b/>
                <w:bCs/>
              </w:rPr>
            </w:pPr>
            <w:r w:rsidRPr="000906D7">
              <w:rPr>
                <w:b/>
                <w:bCs/>
              </w:rPr>
              <w:t xml:space="preserve">                            (257)</w:t>
            </w:r>
          </w:p>
        </w:tc>
        <w:tc>
          <w:tcPr>
            <w:tcW w:w="1492" w:type="dxa"/>
            <w:noWrap/>
            <w:hideMark/>
          </w:tcPr>
          <w:p w:rsidR="00C9417B" w:rsidRPr="000906D7" w:rsidRDefault="00C9417B" w:rsidP="00C9417B">
            <w:pPr>
              <w:jc w:val="right"/>
            </w:pPr>
            <w:r w:rsidRPr="000906D7">
              <w:t xml:space="preserve">                         (571)</w:t>
            </w:r>
          </w:p>
        </w:tc>
        <w:tc>
          <w:tcPr>
            <w:tcW w:w="1509" w:type="dxa"/>
            <w:noWrap/>
            <w:hideMark/>
          </w:tcPr>
          <w:p w:rsidR="00C9417B" w:rsidRPr="000906D7" w:rsidRDefault="00C9417B" w:rsidP="00C9417B">
            <w:pPr>
              <w:jc w:val="right"/>
              <w:rPr>
                <w:b/>
                <w:bCs/>
              </w:rPr>
            </w:pPr>
            <w:r w:rsidRPr="000906D7">
              <w:rPr>
                <w:b/>
                <w:bCs/>
              </w:rPr>
              <w:t xml:space="preserve">                             432 </w:t>
            </w:r>
          </w:p>
        </w:tc>
        <w:tc>
          <w:tcPr>
            <w:tcW w:w="1587" w:type="dxa"/>
            <w:noWrap/>
            <w:hideMark/>
          </w:tcPr>
          <w:p w:rsidR="00C9417B" w:rsidRPr="000906D7" w:rsidRDefault="00C9417B" w:rsidP="00C9417B">
            <w:pPr>
              <w:jc w:val="right"/>
            </w:pPr>
            <w:r w:rsidRPr="000906D7">
              <w:t xml:space="preserve">                               349 </w:t>
            </w:r>
          </w:p>
        </w:tc>
      </w:tr>
      <w:tr w:rsidR="00C9417B" w:rsidRPr="000906D7" w:rsidTr="00C9417B">
        <w:trPr>
          <w:trHeight w:val="576"/>
        </w:trPr>
        <w:tc>
          <w:tcPr>
            <w:tcW w:w="3227" w:type="dxa"/>
            <w:hideMark/>
          </w:tcPr>
          <w:p w:rsidR="00C9417B" w:rsidRPr="000906D7" w:rsidRDefault="00C9417B" w:rsidP="00C9417B">
            <w:pPr>
              <w:rPr>
                <w:b/>
                <w:bCs/>
              </w:rPr>
            </w:pPr>
            <w:r w:rsidRPr="000906D7">
              <w:rPr>
                <w:b/>
                <w:bCs/>
              </w:rPr>
              <w:t>Total equity attributable to equity holders of the company</w:t>
            </w:r>
          </w:p>
        </w:tc>
        <w:tc>
          <w:tcPr>
            <w:tcW w:w="1535" w:type="dxa"/>
            <w:noWrap/>
            <w:hideMark/>
          </w:tcPr>
          <w:p w:rsidR="00C9417B" w:rsidRPr="000906D7" w:rsidRDefault="00C9417B" w:rsidP="00C9417B">
            <w:pPr>
              <w:jc w:val="right"/>
              <w:rPr>
                <w:b/>
                <w:bCs/>
              </w:rPr>
            </w:pPr>
            <w:r w:rsidRPr="000906D7">
              <w:rPr>
                <w:b/>
                <w:bCs/>
              </w:rPr>
              <w:t xml:space="preserve">                         41,826 </w:t>
            </w:r>
          </w:p>
        </w:tc>
        <w:tc>
          <w:tcPr>
            <w:tcW w:w="1492" w:type="dxa"/>
            <w:noWrap/>
            <w:hideMark/>
          </w:tcPr>
          <w:p w:rsidR="00C9417B" w:rsidRPr="000906D7" w:rsidRDefault="00C9417B" w:rsidP="00C9417B">
            <w:pPr>
              <w:jc w:val="right"/>
            </w:pPr>
            <w:r w:rsidRPr="000906D7">
              <w:t xml:space="preserve">                      39,792 </w:t>
            </w:r>
          </w:p>
        </w:tc>
        <w:tc>
          <w:tcPr>
            <w:tcW w:w="1509" w:type="dxa"/>
            <w:noWrap/>
            <w:hideMark/>
          </w:tcPr>
          <w:p w:rsidR="00C9417B" w:rsidRPr="000906D7" w:rsidRDefault="00C9417B" w:rsidP="00C9417B">
            <w:pPr>
              <w:jc w:val="right"/>
              <w:rPr>
                <w:b/>
                <w:bCs/>
              </w:rPr>
            </w:pPr>
            <w:r w:rsidRPr="000906D7">
              <w:rPr>
                <w:b/>
                <w:bCs/>
              </w:rPr>
              <w:t xml:space="preserve">                        46,746 </w:t>
            </w:r>
          </w:p>
        </w:tc>
        <w:tc>
          <w:tcPr>
            <w:tcW w:w="1587" w:type="dxa"/>
            <w:noWrap/>
            <w:hideMark/>
          </w:tcPr>
          <w:p w:rsidR="00C9417B" w:rsidRPr="000906D7" w:rsidRDefault="00C9417B" w:rsidP="00C9417B">
            <w:pPr>
              <w:jc w:val="right"/>
            </w:pPr>
            <w:r w:rsidRPr="000906D7">
              <w:t xml:space="preserve">                           44,519 </w:t>
            </w:r>
          </w:p>
        </w:tc>
      </w:tr>
      <w:tr w:rsidR="00C9417B" w:rsidRPr="000906D7" w:rsidTr="00C9417B">
        <w:trPr>
          <w:trHeight w:val="288"/>
        </w:trPr>
        <w:tc>
          <w:tcPr>
            <w:tcW w:w="3227" w:type="dxa"/>
            <w:hideMark/>
          </w:tcPr>
          <w:p w:rsidR="00C9417B" w:rsidRPr="000906D7" w:rsidRDefault="00C9417B" w:rsidP="00C9417B">
            <w:proofErr w:type="spellStart"/>
            <w:r w:rsidRPr="000906D7">
              <w:lastRenderedPageBreak/>
              <w:t>Non controlling</w:t>
            </w:r>
            <w:proofErr w:type="spellEnd"/>
            <w:r w:rsidRPr="000906D7">
              <w:t xml:space="preserve"> interest</w:t>
            </w:r>
          </w:p>
        </w:tc>
        <w:tc>
          <w:tcPr>
            <w:tcW w:w="1535" w:type="dxa"/>
            <w:noWrap/>
            <w:hideMark/>
          </w:tcPr>
          <w:p w:rsidR="00C9417B" w:rsidRPr="000906D7" w:rsidRDefault="00C9417B" w:rsidP="00C9417B">
            <w:pPr>
              <w:jc w:val="right"/>
              <w:rPr>
                <w:b/>
                <w:bCs/>
              </w:rPr>
            </w:pPr>
            <w:r w:rsidRPr="000906D7">
              <w:rPr>
                <w:b/>
                <w:bCs/>
              </w:rPr>
              <w:t xml:space="preserve">                                  - </w:t>
            </w:r>
          </w:p>
        </w:tc>
        <w:tc>
          <w:tcPr>
            <w:tcW w:w="1492" w:type="dxa"/>
            <w:noWrap/>
            <w:hideMark/>
          </w:tcPr>
          <w:p w:rsidR="00C9417B" w:rsidRPr="000906D7" w:rsidRDefault="00C9417B" w:rsidP="00C9417B">
            <w:pPr>
              <w:jc w:val="right"/>
            </w:pPr>
            <w:r w:rsidRPr="000906D7">
              <w:t xml:space="preserve">                               - </w:t>
            </w:r>
          </w:p>
        </w:tc>
        <w:tc>
          <w:tcPr>
            <w:tcW w:w="1509" w:type="dxa"/>
            <w:noWrap/>
            <w:hideMark/>
          </w:tcPr>
          <w:p w:rsidR="00C9417B" w:rsidRPr="000906D7" w:rsidRDefault="00C9417B" w:rsidP="00C9417B">
            <w:pPr>
              <w:jc w:val="right"/>
              <w:rPr>
                <w:b/>
                <w:bCs/>
              </w:rPr>
            </w:pPr>
            <w:r w:rsidRPr="000906D7">
              <w:rPr>
                <w:b/>
                <w:bCs/>
              </w:rPr>
              <w:t xml:space="preserve">                          2,400 </w:t>
            </w:r>
          </w:p>
        </w:tc>
        <w:tc>
          <w:tcPr>
            <w:tcW w:w="1587" w:type="dxa"/>
            <w:noWrap/>
            <w:hideMark/>
          </w:tcPr>
          <w:p w:rsidR="00C9417B" w:rsidRPr="000906D7" w:rsidRDefault="00C9417B" w:rsidP="00C9417B">
            <w:pPr>
              <w:jc w:val="right"/>
            </w:pPr>
            <w:r w:rsidRPr="000906D7">
              <w:t xml:space="preserve">                            2,485 </w:t>
            </w:r>
          </w:p>
        </w:tc>
      </w:tr>
      <w:tr w:rsidR="00C9417B" w:rsidRPr="000906D7" w:rsidTr="00C9417B">
        <w:trPr>
          <w:trHeight w:val="300"/>
        </w:trPr>
        <w:tc>
          <w:tcPr>
            <w:tcW w:w="3227" w:type="dxa"/>
            <w:noWrap/>
            <w:hideMark/>
          </w:tcPr>
          <w:p w:rsidR="00C9417B" w:rsidRPr="000906D7" w:rsidRDefault="00C9417B" w:rsidP="00C9417B">
            <w:pPr>
              <w:rPr>
                <w:b/>
                <w:bCs/>
              </w:rPr>
            </w:pPr>
            <w:r w:rsidRPr="000906D7">
              <w:rPr>
                <w:b/>
                <w:bCs/>
              </w:rPr>
              <w:t xml:space="preserve">Total equity </w:t>
            </w:r>
          </w:p>
        </w:tc>
        <w:tc>
          <w:tcPr>
            <w:tcW w:w="1535" w:type="dxa"/>
            <w:noWrap/>
            <w:hideMark/>
          </w:tcPr>
          <w:p w:rsidR="00C9417B" w:rsidRPr="000906D7" w:rsidRDefault="00C9417B" w:rsidP="00C9417B">
            <w:pPr>
              <w:jc w:val="right"/>
              <w:rPr>
                <w:b/>
                <w:bCs/>
              </w:rPr>
            </w:pPr>
            <w:r w:rsidRPr="000906D7">
              <w:rPr>
                <w:b/>
                <w:bCs/>
              </w:rPr>
              <w:t xml:space="preserve">                         41,826 </w:t>
            </w:r>
          </w:p>
        </w:tc>
        <w:tc>
          <w:tcPr>
            <w:tcW w:w="1492" w:type="dxa"/>
            <w:noWrap/>
            <w:hideMark/>
          </w:tcPr>
          <w:p w:rsidR="00C9417B" w:rsidRPr="000906D7" w:rsidRDefault="00C9417B" w:rsidP="00C9417B">
            <w:pPr>
              <w:jc w:val="right"/>
            </w:pPr>
            <w:r w:rsidRPr="000906D7">
              <w:t xml:space="preserve">                      39,792 </w:t>
            </w:r>
          </w:p>
        </w:tc>
        <w:tc>
          <w:tcPr>
            <w:tcW w:w="1509" w:type="dxa"/>
            <w:noWrap/>
            <w:hideMark/>
          </w:tcPr>
          <w:p w:rsidR="00C9417B" w:rsidRPr="000906D7" w:rsidRDefault="00C9417B" w:rsidP="00C9417B">
            <w:pPr>
              <w:jc w:val="right"/>
              <w:rPr>
                <w:b/>
                <w:bCs/>
              </w:rPr>
            </w:pPr>
            <w:r w:rsidRPr="000906D7">
              <w:rPr>
                <w:b/>
                <w:bCs/>
              </w:rPr>
              <w:t xml:space="preserve">                        49,146 </w:t>
            </w:r>
          </w:p>
        </w:tc>
        <w:tc>
          <w:tcPr>
            <w:tcW w:w="1587" w:type="dxa"/>
            <w:noWrap/>
            <w:hideMark/>
          </w:tcPr>
          <w:p w:rsidR="00C9417B" w:rsidRPr="000906D7" w:rsidRDefault="00C9417B" w:rsidP="00C9417B">
            <w:pPr>
              <w:jc w:val="right"/>
            </w:pPr>
            <w:r w:rsidRPr="000906D7">
              <w:t xml:space="preserve">                           47,004 </w:t>
            </w:r>
          </w:p>
        </w:tc>
      </w:tr>
      <w:tr w:rsidR="00C9417B" w:rsidRPr="000906D7" w:rsidTr="00C9417B">
        <w:trPr>
          <w:trHeight w:val="288"/>
        </w:trPr>
        <w:tc>
          <w:tcPr>
            <w:tcW w:w="3227" w:type="dxa"/>
            <w:noWrap/>
            <w:hideMark/>
          </w:tcPr>
          <w:p w:rsidR="00C9417B" w:rsidRPr="000906D7" w:rsidRDefault="00C9417B" w:rsidP="00C9417B">
            <w:pPr>
              <w:rPr>
                <w:b/>
                <w:bCs/>
              </w:rPr>
            </w:pPr>
            <w:r w:rsidRPr="000906D7">
              <w:rPr>
                <w:b/>
                <w:bCs/>
              </w:rPr>
              <w:t>Net asset value per share (</w:t>
            </w:r>
            <w:proofErr w:type="spellStart"/>
            <w:r w:rsidRPr="000906D7">
              <w:rPr>
                <w:b/>
                <w:bCs/>
              </w:rPr>
              <w:t>Rs</w:t>
            </w:r>
            <w:proofErr w:type="spellEnd"/>
            <w:r w:rsidRPr="000906D7">
              <w:rPr>
                <w:b/>
                <w:bCs/>
              </w:rPr>
              <w:t>.)</w:t>
            </w:r>
          </w:p>
        </w:tc>
        <w:tc>
          <w:tcPr>
            <w:tcW w:w="1535" w:type="dxa"/>
            <w:noWrap/>
            <w:hideMark/>
          </w:tcPr>
          <w:p w:rsidR="00C9417B" w:rsidRPr="000906D7" w:rsidRDefault="00C9417B" w:rsidP="00C9417B">
            <w:pPr>
              <w:jc w:val="right"/>
              <w:rPr>
                <w:b/>
                <w:bCs/>
              </w:rPr>
            </w:pPr>
            <w:r w:rsidRPr="000906D7">
              <w:rPr>
                <w:b/>
                <w:bCs/>
              </w:rPr>
              <w:t>19.41</w:t>
            </w:r>
          </w:p>
        </w:tc>
        <w:tc>
          <w:tcPr>
            <w:tcW w:w="1492" w:type="dxa"/>
            <w:noWrap/>
            <w:hideMark/>
          </w:tcPr>
          <w:p w:rsidR="00C9417B" w:rsidRPr="000906D7" w:rsidRDefault="00C9417B" w:rsidP="00C9417B">
            <w:pPr>
              <w:jc w:val="right"/>
            </w:pPr>
            <w:r w:rsidRPr="000906D7">
              <w:t>19.49</w:t>
            </w:r>
          </w:p>
        </w:tc>
        <w:tc>
          <w:tcPr>
            <w:tcW w:w="1509" w:type="dxa"/>
            <w:noWrap/>
            <w:hideMark/>
          </w:tcPr>
          <w:p w:rsidR="00C9417B" w:rsidRPr="000906D7" w:rsidRDefault="00C9417B" w:rsidP="00C9417B">
            <w:pPr>
              <w:jc w:val="right"/>
              <w:rPr>
                <w:b/>
                <w:bCs/>
              </w:rPr>
            </w:pPr>
            <w:r w:rsidRPr="000906D7">
              <w:rPr>
                <w:b/>
                <w:bCs/>
              </w:rPr>
              <w:t xml:space="preserve">                          21.70 </w:t>
            </w:r>
          </w:p>
        </w:tc>
        <w:tc>
          <w:tcPr>
            <w:tcW w:w="1587" w:type="dxa"/>
            <w:noWrap/>
            <w:hideMark/>
          </w:tcPr>
          <w:p w:rsidR="00C9417B" w:rsidRPr="000906D7" w:rsidRDefault="00C9417B" w:rsidP="00C9417B">
            <w:pPr>
              <w:jc w:val="right"/>
            </w:pPr>
            <w:r w:rsidRPr="000906D7">
              <w:t xml:space="preserve">                            21.80 </w:t>
            </w:r>
          </w:p>
        </w:tc>
      </w:tr>
    </w:tbl>
    <w:p w:rsidR="0095763B" w:rsidRDefault="0095763B" w:rsidP="000906D7"/>
    <w:p w:rsidR="0095763B" w:rsidRDefault="0095763B" w:rsidP="000906D7"/>
    <w:tbl>
      <w:tblPr>
        <w:tblStyle w:val="TableGrid"/>
        <w:tblpPr w:leftFromText="180" w:rightFromText="180" w:vertAnchor="text" w:horzAnchor="margin" w:tblpY="19"/>
        <w:tblW w:w="0" w:type="auto"/>
        <w:tblLook w:val="04A0" w:firstRow="1" w:lastRow="0" w:firstColumn="1" w:lastColumn="0" w:noHBand="0" w:noVBand="1"/>
      </w:tblPr>
      <w:tblGrid>
        <w:gridCol w:w="4798"/>
        <w:gridCol w:w="1173"/>
        <w:gridCol w:w="1048"/>
        <w:gridCol w:w="1076"/>
        <w:gridCol w:w="1255"/>
      </w:tblGrid>
      <w:tr w:rsidR="00C9417B" w:rsidRPr="000906D7" w:rsidTr="00C9417B">
        <w:trPr>
          <w:trHeight w:val="312"/>
        </w:trPr>
        <w:tc>
          <w:tcPr>
            <w:tcW w:w="9350" w:type="dxa"/>
            <w:gridSpan w:val="5"/>
            <w:noWrap/>
            <w:hideMark/>
          </w:tcPr>
          <w:p w:rsidR="00C9417B" w:rsidRPr="000906D7" w:rsidRDefault="00C9417B" w:rsidP="00C9417B">
            <w:pPr>
              <w:rPr>
                <w:b/>
                <w:bCs/>
              </w:rPr>
            </w:pPr>
            <w:r w:rsidRPr="000906D7">
              <w:rPr>
                <w:b/>
                <w:bCs/>
              </w:rPr>
              <w:t>People's Leasing &amp; Finance PLC</w:t>
            </w:r>
          </w:p>
        </w:tc>
      </w:tr>
      <w:tr w:rsidR="00C9417B" w:rsidRPr="000906D7" w:rsidTr="00C9417B">
        <w:trPr>
          <w:trHeight w:val="312"/>
        </w:trPr>
        <w:tc>
          <w:tcPr>
            <w:tcW w:w="9350" w:type="dxa"/>
            <w:gridSpan w:val="5"/>
            <w:noWrap/>
            <w:hideMark/>
          </w:tcPr>
          <w:p w:rsidR="00C9417B" w:rsidRPr="000906D7" w:rsidRDefault="00C9417B" w:rsidP="00C9417B">
            <w:pPr>
              <w:rPr>
                <w:b/>
                <w:bCs/>
              </w:rPr>
            </w:pPr>
            <w:r w:rsidRPr="000906D7">
              <w:rPr>
                <w:b/>
                <w:bCs/>
              </w:rPr>
              <w:t xml:space="preserve">SELECTED PERFORMANCE INDICATORS  </w:t>
            </w:r>
          </w:p>
        </w:tc>
      </w:tr>
      <w:tr w:rsidR="00C9417B" w:rsidRPr="000906D7" w:rsidTr="00C9417B">
        <w:trPr>
          <w:trHeight w:val="312"/>
        </w:trPr>
        <w:tc>
          <w:tcPr>
            <w:tcW w:w="9350" w:type="dxa"/>
            <w:gridSpan w:val="5"/>
            <w:noWrap/>
            <w:hideMark/>
          </w:tcPr>
          <w:p w:rsidR="00C9417B" w:rsidRPr="000906D7" w:rsidRDefault="00C9417B" w:rsidP="00C9417B">
            <w:pPr>
              <w:rPr>
                <w:b/>
                <w:bCs/>
              </w:rPr>
            </w:pPr>
            <w:r w:rsidRPr="000906D7">
              <w:rPr>
                <w:b/>
                <w:bCs/>
              </w:rPr>
              <w:t>AS AT 31ST MARCH 2024</w:t>
            </w:r>
          </w:p>
        </w:tc>
      </w:tr>
      <w:tr w:rsidR="00C9417B" w:rsidRPr="000906D7" w:rsidTr="00C9417B">
        <w:trPr>
          <w:trHeight w:val="312"/>
        </w:trPr>
        <w:tc>
          <w:tcPr>
            <w:tcW w:w="4798" w:type="dxa"/>
            <w:vMerge w:val="restart"/>
            <w:noWrap/>
            <w:hideMark/>
          </w:tcPr>
          <w:p w:rsidR="00C9417B" w:rsidRPr="000906D7" w:rsidRDefault="00C9417B" w:rsidP="00C9417B">
            <w:pPr>
              <w:rPr>
                <w:b/>
                <w:bCs/>
              </w:rPr>
            </w:pPr>
            <w:r w:rsidRPr="000906D7">
              <w:rPr>
                <w:b/>
                <w:bCs/>
              </w:rPr>
              <w:t>Item</w:t>
            </w:r>
          </w:p>
        </w:tc>
        <w:tc>
          <w:tcPr>
            <w:tcW w:w="2221" w:type="dxa"/>
            <w:gridSpan w:val="2"/>
            <w:noWrap/>
            <w:hideMark/>
          </w:tcPr>
          <w:p w:rsidR="00C9417B" w:rsidRPr="000906D7" w:rsidRDefault="00C9417B" w:rsidP="00C9417B">
            <w:pPr>
              <w:rPr>
                <w:b/>
                <w:bCs/>
              </w:rPr>
            </w:pPr>
            <w:r w:rsidRPr="000906D7">
              <w:rPr>
                <w:b/>
                <w:bCs/>
              </w:rPr>
              <w:t>As At 31.03.2024</w:t>
            </w:r>
          </w:p>
        </w:tc>
        <w:tc>
          <w:tcPr>
            <w:tcW w:w="2331" w:type="dxa"/>
            <w:gridSpan w:val="2"/>
            <w:noWrap/>
            <w:hideMark/>
          </w:tcPr>
          <w:p w:rsidR="00C9417B" w:rsidRPr="000906D7" w:rsidRDefault="00C9417B" w:rsidP="00C9417B">
            <w:pPr>
              <w:rPr>
                <w:b/>
                <w:bCs/>
              </w:rPr>
            </w:pPr>
            <w:r w:rsidRPr="000906D7">
              <w:rPr>
                <w:b/>
                <w:bCs/>
              </w:rPr>
              <w:t>As At 31.03.2023</w:t>
            </w:r>
          </w:p>
        </w:tc>
      </w:tr>
      <w:tr w:rsidR="00C9417B" w:rsidRPr="000906D7" w:rsidTr="00C9417B">
        <w:trPr>
          <w:trHeight w:val="312"/>
        </w:trPr>
        <w:tc>
          <w:tcPr>
            <w:tcW w:w="4798" w:type="dxa"/>
            <w:vMerge/>
            <w:hideMark/>
          </w:tcPr>
          <w:p w:rsidR="00C9417B" w:rsidRPr="000906D7" w:rsidRDefault="00C9417B" w:rsidP="00C9417B">
            <w:pPr>
              <w:rPr>
                <w:b/>
                <w:bCs/>
              </w:rPr>
            </w:pPr>
          </w:p>
        </w:tc>
        <w:tc>
          <w:tcPr>
            <w:tcW w:w="1173" w:type="dxa"/>
            <w:noWrap/>
            <w:hideMark/>
          </w:tcPr>
          <w:p w:rsidR="00C9417B" w:rsidRPr="000906D7" w:rsidRDefault="00C9417B" w:rsidP="00C9417B">
            <w:pPr>
              <w:rPr>
                <w:b/>
                <w:bCs/>
              </w:rPr>
            </w:pPr>
            <w:r w:rsidRPr="000906D7">
              <w:rPr>
                <w:b/>
                <w:bCs/>
              </w:rPr>
              <w:t>Actual</w:t>
            </w:r>
          </w:p>
        </w:tc>
        <w:tc>
          <w:tcPr>
            <w:tcW w:w="1048" w:type="dxa"/>
            <w:noWrap/>
            <w:hideMark/>
          </w:tcPr>
          <w:p w:rsidR="00C9417B" w:rsidRPr="000906D7" w:rsidRDefault="00C9417B" w:rsidP="00C9417B">
            <w:pPr>
              <w:rPr>
                <w:b/>
                <w:bCs/>
              </w:rPr>
            </w:pPr>
            <w:r w:rsidRPr="000906D7">
              <w:rPr>
                <w:b/>
                <w:bCs/>
              </w:rPr>
              <w:t>Required</w:t>
            </w:r>
          </w:p>
        </w:tc>
        <w:tc>
          <w:tcPr>
            <w:tcW w:w="1076" w:type="dxa"/>
            <w:noWrap/>
            <w:hideMark/>
          </w:tcPr>
          <w:p w:rsidR="00C9417B" w:rsidRPr="000906D7" w:rsidRDefault="00C9417B" w:rsidP="00C9417B">
            <w:pPr>
              <w:rPr>
                <w:b/>
                <w:bCs/>
              </w:rPr>
            </w:pPr>
            <w:r w:rsidRPr="000906D7">
              <w:rPr>
                <w:b/>
                <w:bCs/>
              </w:rPr>
              <w:t>Actual</w:t>
            </w:r>
          </w:p>
        </w:tc>
        <w:tc>
          <w:tcPr>
            <w:tcW w:w="1255" w:type="dxa"/>
            <w:noWrap/>
            <w:hideMark/>
          </w:tcPr>
          <w:p w:rsidR="00C9417B" w:rsidRPr="000906D7" w:rsidRDefault="00C9417B" w:rsidP="00C9417B">
            <w:pPr>
              <w:rPr>
                <w:b/>
                <w:bCs/>
              </w:rPr>
            </w:pPr>
            <w:r w:rsidRPr="000906D7">
              <w:rPr>
                <w:b/>
                <w:bCs/>
              </w:rPr>
              <w:t>Required</w:t>
            </w:r>
          </w:p>
        </w:tc>
      </w:tr>
      <w:tr w:rsidR="00C9417B" w:rsidRPr="000906D7" w:rsidTr="00C9417B">
        <w:trPr>
          <w:trHeight w:val="312"/>
        </w:trPr>
        <w:tc>
          <w:tcPr>
            <w:tcW w:w="4798" w:type="dxa"/>
            <w:noWrap/>
            <w:hideMark/>
          </w:tcPr>
          <w:p w:rsidR="00C9417B" w:rsidRPr="000906D7" w:rsidRDefault="00C9417B" w:rsidP="00C9417B">
            <w:pPr>
              <w:rPr>
                <w:b/>
                <w:bCs/>
              </w:rPr>
            </w:pPr>
            <w:r w:rsidRPr="000906D7">
              <w:rPr>
                <w:b/>
                <w:bCs/>
              </w:rPr>
              <w:t>Regulatory Capital Adequacy (%)</w:t>
            </w:r>
          </w:p>
        </w:tc>
        <w:tc>
          <w:tcPr>
            <w:tcW w:w="1173" w:type="dxa"/>
            <w:noWrap/>
            <w:hideMark/>
          </w:tcPr>
          <w:p w:rsidR="00C9417B" w:rsidRPr="000906D7" w:rsidRDefault="00C9417B" w:rsidP="00C9417B">
            <w:pPr>
              <w:rPr>
                <w:b/>
                <w:bCs/>
              </w:rPr>
            </w:pPr>
          </w:p>
        </w:tc>
        <w:tc>
          <w:tcPr>
            <w:tcW w:w="1048" w:type="dxa"/>
            <w:noWrap/>
            <w:hideMark/>
          </w:tcPr>
          <w:p w:rsidR="00C9417B" w:rsidRPr="000906D7" w:rsidRDefault="00C9417B" w:rsidP="00C9417B">
            <w:r w:rsidRPr="000906D7">
              <w:t> </w:t>
            </w:r>
          </w:p>
        </w:tc>
        <w:tc>
          <w:tcPr>
            <w:tcW w:w="1076" w:type="dxa"/>
            <w:noWrap/>
            <w:hideMark/>
          </w:tcPr>
          <w:p w:rsidR="00C9417B" w:rsidRPr="000906D7" w:rsidRDefault="00C9417B" w:rsidP="00C9417B">
            <w:r w:rsidRPr="000906D7">
              <w:t> </w:t>
            </w:r>
          </w:p>
        </w:tc>
        <w:tc>
          <w:tcPr>
            <w:tcW w:w="1255" w:type="dxa"/>
            <w:noWrap/>
            <w:hideMark/>
          </w:tcPr>
          <w:p w:rsidR="00C9417B" w:rsidRPr="000906D7" w:rsidRDefault="00C9417B" w:rsidP="00C9417B">
            <w:r w:rsidRPr="000906D7">
              <w:t> </w:t>
            </w:r>
          </w:p>
        </w:tc>
      </w:tr>
      <w:tr w:rsidR="00C9417B" w:rsidRPr="000906D7" w:rsidTr="00C9417B">
        <w:trPr>
          <w:trHeight w:val="312"/>
        </w:trPr>
        <w:tc>
          <w:tcPr>
            <w:tcW w:w="4798" w:type="dxa"/>
            <w:noWrap/>
            <w:hideMark/>
          </w:tcPr>
          <w:p w:rsidR="00C9417B" w:rsidRPr="000906D7" w:rsidRDefault="00C9417B" w:rsidP="00C9417B">
            <w:r w:rsidRPr="000906D7">
              <w:t>Tier 1 Capital Adequacy Ratio</w:t>
            </w:r>
          </w:p>
        </w:tc>
        <w:tc>
          <w:tcPr>
            <w:tcW w:w="1173" w:type="dxa"/>
            <w:noWrap/>
            <w:hideMark/>
          </w:tcPr>
          <w:p w:rsidR="00C9417B" w:rsidRPr="000906D7" w:rsidRDefault="00C9417B" w:rsidP="00C9417B">
            <w:r w:rsidRPr="000906D7">
              <w:t>30.00</w:t>
            </w:r>
          </w:p>
        </w:tc>
        <w:tc>
          <w:tcPr>
            <w:tcW w:w="1048" w:type="dxa"/>
            <w:noWrap/>
            <w:hideMark/>
          </w:tcPr>
          <w:p w:rsidR="00C9417B" w:rsidRPr="000906D7" w:rsidRDefault="00C9417B" w:rsidP="00C9417B">
            <w:r w:rsidRPr="000906D7">
              <w:t>10</w:t>
            </w:r>
          </w:p>
        </w:tc>
        <w:tc>
          <w:tcPr>
            <w:tcW w:w="1076" w:type="dxa"/>
            <w:noWrap/>
            <w:hideMark/>
          </w:tcPr>
          <w:p w:rsidR="00C9417B" w:rsidRPr="000906D7" w:rsidRDefault="00C9417B" w:rsidP="00C9417B">
            <w:r w:rsidRPr="000906D7">
              <w:t>25.76</w:t>
            </w:r>
          </w:p>
        </w:tc>
        <w:tc>
          <w:tcPr>
            <w:tcW w:w="1255" w:type="dxa"/>
            <w:noWrap/>
            <w:hideMark/>
          </w:tcPr>
          <w:p w:rsidR="00C9417B" w:rsidRPr="000906D7" w:rsidRDefault="00C9417B" w:rsidP="00C9417B">
            <w:r w:rsidRPr="000906D7">
              <w:t>10</w:t>
            </w:r>
          </w:p>
        </w:tc>
      </w:tr>
      <w:tr w:rsidR="00C9417B" w:rsidRPr="000906D7" w:rsidTr="00C9417B">
        <w:trPr>
          <w:trHeight w:val="312"/>
        </w:trPr>
        <w:tc>
          <w:tcPr>
            <w:tcW w:w="4798" w:type="dxa"/>
            <w:noWrap/>
            <w:hideMark/>
          </w:tcPr>
          <w:p w:rsidR="00C9417B" w:rsidRPr="000906D7" w:rsidRDefault="00C9417B" w:rsidP="00C9417B">
            <w:r w:rsidRPr="000906D7">
              <w:t>Total Capital Ratio</w:t>
            </w:r>
          </w:p>
        </w:tc>
        <w:tc>
          <w:tcPr>
            <w:tcW w:w="1173" w:type="dxa"/>
            <w:noWrap/>
            <w:hideMark/>
          </w:tcPr>
          <w:p w:rsidR="00C9417B" w:rsidRPr="000906D7" w:rsidRDefault="00C9417B" w:rsidP="00C9417B">
            <w:r w:rsidRPr="000906D7">
              <w:t>29.70</w:t>
            </w:r>
          </w:p>
        </w:tc>
        <w:tc>
          <w:tcPr>
            <w:tcW w:w="1048" w:type="dxa"/>
            <w:noWrap/>
            <w:hideMark/>
          </w:tcPr>
          <w:p w:rsidR="00C9417B" w:rsidRPr="000906D7" w:rsidRDefault="00C9417B" w:rsidP="00C9417B">
            <w:r w:rsidRPr="000906D7">
              <w:t>14</w:t>
            </w:r>
          </w:p>
        </w:tc>
        <w:tc>
          <w:tcPr>
            <w:tcW w:w="1076" w:type="dxa"/>
            <w:noWrap/>
            <w:hideMark/>
          </w:tcPr>
          <w:p w:rsidR="00C9417B" w:rsidRPr="000906D7" w:rsidRDefault="00C9417B" w:rsidP="00C9417B">
            <w:r w:rsidRPr="000906D7">
              <w:t>26.61</w:t>
            </w:r>
          </w:p>
        </w:tc>
        <w:tc>
          <w:tcPr>
            <w:tcW w:w="1255" w:type="dxa"/>
            <w:noWrap/>
            <w:hideMark/>
          </w:tcPr>
          <w:p w:rsidR="00C9417B" w:rsidRPr="000906D7" w:rsidRDefault="00C9417B" w:rsidP="00C9417B">
            <w:r w:rsidRPr="000906D7">
              <w:t>14</w:t>
            </w:r>
          </w:p>
        </w:tc>
      </w:tr>
      <w:tr w:rsidR="00C9417B" w:rsidRPr="000906D7" w:rsidTr="00C9417B">
        <w:trPr>
          <w:trHeight w:val="312"/>
        </w:trPr>
        <w:tc>
          <w:tcPr>
            <w:tcW w:w="4798" w:type="dxa"/>
            <w:noWrap/>
            <w:hideMark/>
          </w:tcPr>
          <w:p w:rsidR="00C9417B" w:rsidRPr="000906D7" w:rsidRDefault="00C9417B" w:rsidP="00C9417B">
            <w:r w:rsidRPr="000906D7">
              <w:t xml:space="preserve">Capital Funds to Total Deposits </w:t>
            </w:r>
            <w:proofErr w:type="spellStart"/>
            <w:r w:rsidRPr="000906D7">
              <w:t>Liabilitiies</w:t>
            </w:r>
            <w:proofErr w:type="spellEnd"/>
            <w:r w:rsidRPr="000906D7">
              <w:t xml:space="preserve"> Ratio</w:t>
            </w:r>
          </w:p>
        </w:tc>
        <w:tc>
          <w:tcPr>
            <w:tcW w:w="1173" w:type="dxa"/>
            <w:noWrap/>
            <w:hideMark/>
          </w:tcPr>
          <w:p w:rsidR="00C9417B" w:rsidRPr="000906D7" w:rsidRDefault="00C9417B" w:rsidP="00C9417B">
            <w:r w:rsidRPr="000906D7">
              <w:t>42.93</w:t>
            </w:r>
          </w:p>
        </w:tc>
        <w:tc>
          <w:tcPr>
            <w:tcW w:w="1048" w:type="dxa"/>
            <w:noWrap/>
            <w:hideMark/>
          </w:tcPr>
          <w:p w:rsidR="00C9417B" w:rsidRPr="000906D7" w:rsidRDefault="00C9417B" w:rsidP="00C9417B">
            <w:r w:rsidRPr="000906D7">
              <w:t>10</w:t>
            </w:r>
          </w:p>
        </w:tc>
        <w:tc>
          <w:tcPr>
            <w:tcW w:w="1076" w:type="dxa"/>
            <w:noWrap/>
            <w:hideMark/>
          </w:tcPr>
          <w:p w:rsidR="00C9417B" w:rsidRPr="000906D7" w:rsidRDefault="00C9417B" w:rsidP="00C9417B">
            <w:r w:rsidRPr="000906D7">
              <w:t>39.42</w:t>
            </w:r>
          </w:p>
        </w:tc>
        <w:tc>
          <w:tcPr>
            <w:tcW w:w="1255" w:type="dxa"/>
            <w:noWrap/>
            <w:hideMark/>
          </w:tcPr>
          <w:p w:rsidR="00C9417B" w:rsidRPr="000906D7" w:rsidRDefault="00C9417B" w:rsidP="00C9417B">
            <w:r w:rsidRPr="000906D7">
              <w:t>10</w:t>
            </w:r>
          </w:p>
        </w:tc>
      </w:tr>
      <w:tr w:rsidR="00C9417B" w:rsidRPr="000906D7" w:rsidTr="00C9417B">
        <w:trPr>
          <w:trHeight w:val="312"/>
        </w:trPr>
        <w:tc>
          <w:tcPr>
            <w:tcW w:w="4798" w:type="dxa"/>
            <w:noWrap/>
            <w:hideMark/>
          </w:tcPr>
          <w:p w:rsidR="00C9417B" w:rsidRPr="000906D7" w:rsidRDefault="00C9417B" w:rsidP="00C9417B">
            <w:pPr>
              <w:rPr>
                <w:b/>
                <w:bCs/>
              </w:rPr>
            </w:pPr>
            <w:r w:rsidRPr="000906D7">
              <w:rPr>
                <w:b/>
                <w:bCs/>
              </w:rPr>
              <w:t>Quality of Loan Portfolio (%)</w:t>
            </w:r>
          </w:p>
        </w:tc>
        <w:tc>
          <w:tcPr>
            <w:tcW w:w="2221" w:type="dxa"/>
            <w:gridSpan w:val="2"/>
            <w:noWrap/>
            <w:hideMark/>
          </w:tcPr>
          <w:p w:rsidR="00C9417B" w:rsidRPr="000906D7" w:rsidRDefault="00C9417B" w:rsidP="00C9417B">
            <w:r w:rsidRPr="000906D7">
              <w:t> </w:t>
            </w:r>
          </w:p>
        </w:tc>
        <w:tc>
          <w:tcPr>
            <w:tcW w:w="2331" w:type="dxa"/>
            <w:gridSpan w:val="2"/>
            <w:noWrap/>
            <w:hideMark/>
          </w:tcPr>
          <w:p w:rsidR="00C9417B" w:rsidRPr="000906D7" w:rsidRDefault="00C9417B" w:rsidP="00C9417B">
            <w:r w:rsidRPr="000906D7">
              <w:t> </w:t>
            </w:r>
          </w:p>
        </w:tc>
      </w:tr>
      <w:tr w:rsidR="00C9417B" w:rsidRPr="000906D7" w:rsidTr="00C9417B">
        <w:trPr>
          <w:trHeight w:val="312"/>
        </w:trPr>
        <w:tc>
          <w:tcPr>
            <w:tcW w:w="4798" w:type="dxa"/>
            <w:noWrap/>
            <w:hideMark/>
          </w:tcPr>
          <w:p w:rsidR="00C9417B" w:rsidRPr="000906D7" w:rsidRDefault="00C9417B" w:rsidP="00C9417B">
            <w:r w:rsidRPr="000906D7">
              <w:t>Gross Stage 3 Loans Ratio</w:t>
            </w:r>
          </w:p>
        </w:tc>
        <w:tc>
          <w:tcPr>
            <w:tcW w:w="2221" w:type="dxa"/>
            <w:gridSpan w:val="2"/>
            <w:noWrap/>
            <w:hideMark/>
          </w:tcPr>
          <w:p w:rsidR="00C9417B" w:rsidRPr="000906D7" w:rsidRDefault="00C9417B" w:rsidP="00C9417B">
            <w:r w:rsidRPr="000906D7">
              <w:t>15.84</w:t>
            </w:r>
          </w:p>
        </w:tc>
        <w:tc>
          <w:tcPr>
            <w:tcW w:w="2331" w:type="dxa"/>
            <w:gridSpan w:val="2"/>
            <w:noWrap/>
            <w:hideMark/>
          </w:tcPr>
          <w:p w:rsidR="00C9417B" w:rsidRPr="000906D7" w:rsidRDefault="00C9417B" w:rsidP="00C9417B">
            <w:r w:rsidRPr="000906D7">
              <w:t>13.91</w:t>
            </w:r>
          </w:p>
        </w:tc>
      </w:tr>
      <w:tr w:rsidR="00C9417B" w:rsidRPr="000906D7" w:rsidTr="00C9417B">
        <w:trPr>
          <w:trHeight w:val="312"/>
        </w:trPr>
        <w:tc>
          <w:tcPr>
            <w:tcW w:w="4798" w:type="dxa"/>
            <w:noWrap/>
            <w:hideMark/>
          </w:tcPr>
          <w:p w:rsidR="00C9417B" w:rsidRPr="000906D7" w:rsidRDefault="00C9417B" w:rsidP="00C9417B">
            <w:r w:rsidRPr="000906D7">
              <w:t>Net Stage 3 Loan Ratio</w:t>
            </w:r>
          </w:p>
        </w:tc>
        <w:tc>
          <w:tcPr>
            <w:tcW w:w="2221" w:type="dxa"/>
            <w:gridSpan w:val="2"/>
            <w:noWrap/>
            <w:hideMark/>
          </w:tcPr>
          <w:p w:rsidR="00C9417B" w:rsidRPr="000906D7" w:rsidRDefault="00C9417B" w:rsidP="00C9417B">
            <w:r w:rsidRPr="000906D7">
              <w:t>9.19</w:t>
            </w:r>
          </w:p>
        </w:tc>
        <w:tc>
          <w:tcPr>
            <w:tcW w:w="2331" w:type="dxa"/>
            <w:gridSpan w:val="2"/>
            <w:noWrap/>
            <w:hideMark/>
          </w:tcPr>
          <w:p w:rsidR="00C9417B" w:rsidRPr="000906D7" w:rsidRDefault="00C9417B" w:rsidP="00C9417B">
            <w:r w:rsidRPr="000906D7">
              <w:t>7.58</w:t>
            </w:r>
          </w:p>
        </w:tc>
      </w:tr>
      <w:tr w:rsidR="00C9417B" w:rsidRPr="000906D7" w:rsidTr="00C9417B">
        <w:trPr>
          <w:trHeight w:val="312"/>
        </w:trPr>
        <w:tc>
          <w:tcPr>
            <w:tcW w:w="4798" w:type="dxa"/>
            <w:noWrap/>
            <w:hideMark/>
          </w:tcPr>
          <w:p w:rsidR="00C9417B" w:rsidRPr="000906D7" w:rsidRDefault="00C9417B" w:rsidP="00C9417B">
            <w:r w:rsidRPr="000906D7">
              <w:t xml:space="preserve">Net Stage 3 </w:t>
            </w:r>
            <w:proofErr w:type="spellStart"/>
            <w:r w:rsidRPr="000906D7">
              <w:t>LoanS</w:t>
            </w:r>
            <w:proofErr w:type="spellEnd"/>
            <w:r w:rsidRPr="000906D7">
              <w:t xml:space="preserve"> to Core Capital Ratio</w:t>
            </w:r>
          </w:p>
        </w:tc>
        <w:tc>
          <w:tcPr>
            <w:tcW w:w="2221" w:type="dxa"/>
            <w:gridSpan w:val="2"/>
            <w:noWrap/>
            <w:hideMark/>
          </w:tcPr>
          <w:p w:rsidR="00C9417B" w:rsidRPr="000906D7" w:rsidRDefault="00C9417B" w:rsidP="00C9417B">
            <w:r w:rsidRPr="000906D7">
              <w:t>25.68</w:t>
            </w:r>
          </w:p>
        </w:tc>
        <w:tc>
          <w:tcPr>
            <w:tcW w:w="2331" w:type="dxa"/>
            <w:gridSpan w:val="2"/>
            <w:noWrap/>
            <w:hideMark/>
          </w:tcPr>
          <w:p w:rsidR="00C9417B" w:rsidRPr="000906D7" w:rsidRDefault="00C9417B" w:rsidP="00C9417B">
            <w:r w:rsidRPr="000906D7">
              <w:t>22.78</w:t>
            </w:r>
          </w:p>
        </w:tc>
      </w:tr>
      <w:tr w:rsidR="00C9417B" w:rsidRPr="000906D7" w:rsidTr="00C9417B">
        <w:trPr>
          <w:trHeight w:val="312"/>
        </w:trPr>
        <w:tc>
          <w:tcPr>
            <w:tcW w:w="4798" w:type="dxa"/>
            <w:noWrap/>
            <w:hideMark/>
          </w:tcPr>
          <w:p w:rsidR="00C9417B" w:rsidRPr="000906D7" w:rsidRDefault="00C9417B" w:rsidP="00C9417B">
            <w:r w:rsidRPr="000906D7">
              <w:t xml:space="preserve">Stage 3 Impairment Coverage Ratio </w:t>
            </w:r>
          </w:p>
        </w:tc>
        <w:tc>
          <w:tcPr>
            <w:tcW w:w="2221" w:type="dxa"/>
            <w:gridSpan w:val="2"/>
            <w:noWrap/>
            <w:hideMark/>
          </w:tcPr>
          <w:p w:rsidR="00C9417B" w:rsidRPr="000906D7" w:rsidRDefault="00C9417B" w:rsidP="00C9417B">
            <w:r w:rsidRPr="000906D7">
              <w:t>46.56</w:t>
            </w:r>
          </w:p>
        </w:tc>
        <w:tc>
          <w:tcPr>
            <w:tcW w:w="2331" w:type="dxa"/>
            <w:gridSpan w:val="2"/>
            <w:noWrap/>
            <w:hideMark/>
          </w:tcPr>
          <w:p w:rsidR="00C9417B" w:rsidRPr="000906D7" w:rsidRDefault="00C9417B" w:rsidP="00C9417B">
            <w:r w:rsidRPr="000906D7">
              <w:t>50.04</w:t>
            </w:r>
          </w:p>
        </w:tc>
      </w:tr>
      <w:tr w:rsidR="00C9417B" w:rsidRPr="000906D7" w:rsidTr="00C9417B">
        <w:trPr>
          <w:trHeight w:val="312"/>
        </w:trPr>
        <w:tc>
          <w:tcPr>
            <w:tcW w:w="4798" w:type="dxa"/>
            <w:noWrap/>
            <w:hideMark/>
          </w:tcPr>
          <w:p w:rsidR="00C9417B" w:rsidRPr="000906D7" w:rsidRDefault="00C9417B" w:rsidP="00C9417B">
            <w:r w:rsidRPr="000906D7">
              <w:t>Total Impairment Coverage Ratio</w:t>
            </w:r>
          </w:p>
        </w:tc>
        <w:tc>
          <w:tcPr>
            <w:tcW w:w="2221" w:type="dxa"/>
            <w:gridSpan w:val="2"/>
            <w:noWrap/>
            <w:hideMark/>
          </w:tcPr>
          <w:p w:rsidR="00C9417B" w:rsidRPr="000906D7" w:rsidRDefault="00C9417B" w:rsidP="00C9417B">
            <w:r w:rsidRPr="000906D7">
              <w:t>7.87</w:t>
            </w:r>
          </w:p>
        </w:tc>
        <w:tc>
          <w:tcPr>
            <w:tcW w:w="2331" w:type="dxa"/>
            <w:gridSpan w:val="2"/>
            <w:noWrap/>
            <w:hideMark/>
          </w:tcPr>
          <w:p w:rsidR="00C9417B" w:rsidRPr="000906D7" w:rsidRDefault="00C9417B" w:rsidP="00C9417B">
            <w:r w:rsidRPr="000906D7">
              <w:t>8.35</w:t>
            </w:r>
          </w:p>
        </w:tc>
      </w:tr>
      <w:tr w:rsidR="00C9417B" w:rsidRPr="000906D7" w:rsidTr="00C9417B">
        <w:trPr>
          <w:trHeight w:val="312"/>
        </w:trPr>
        <w:tc>
          <w:tcPr>
            <w:tcW w:w="4798" w:type="dxa"/>
            <w:noWrap/>
            <w:hideMark/>
          </w:tcPr>
          <w:p w:rsidR="00C9417B" w:rsidRPr="000906D7" w:rsidRDefault="00C9417B" w:rsidP="00C9417B">
            <w:pPr>
              <w:rPr>
                <w:b/>
                <w:bCs/>
              </w:rPr>
            </w:pPr>
            <w:r w:rsidRPr="000906D7">
              <w:rPr>
                <w:b/>
                <w:bCs/>
              </w:rPr>
              <w:t>Profitability (%)</w:t>
            </w:r>
          </w:p>
        </w:tc>
        <w:tc>
          <w:tcPr>
            <w:tcW w:w="2221" w:type="dxa"/>
            <w:gridSpan w:val="2"/>
            <w:noWrap/>
            <w:hideMark/>
          </w:tcPr>
          <w:p w:rsidR="00C9417B" w:rsidRPr="000906D7" w:rsidRDefault="00C9417B" w:rsidP="00C9417B">
            <w:r w:rsidRPr="000906D7">
              <w:t> </w:t>
            </w:r>
          </w:p>
        </w:tc>
        <w:tc>
          <w:tcPr>
            <w:tcW w:w="2331" w:type="dxa"/>
            <w:gridSpan w:val="2"/>
            <w:noWrap/>
            <w:hideMark/>
          </w:tcPr>
          <w:p w:rsidR="00C9417B" w:rsidRPr="000906D7" w:rsidRDefault="00C9417B" w:rsidP="00C9417B">
            <w:r w:rsidRPr="000906D7">
              <w:t> </w:t>
            </w:r>
          </w:p>
        </w:tc>
      </w:tr>
      <w:tr w:rsidR="00C9417B" w:rsidRPr="000906D7" w:rsidTr="00C9417B">
        <w:trPr>
          <w:trHeight w:val="312"/>
        </w:trPr>
        <w:tc>
          <w:tcPr>
            <w:tcW w:w="4798" w:type="dxa"/>
            <w:noWrap/>
            <w:hideMark/>
          </w:tcPr>
          <w:p w:rsidR="00C9417B" w:rsidRPr="000906D7" w:rsidRDefault="00C9417B" w:rsidP="00C9417B">
            <w:r w:rsidRPr="000906D7">
              <w:t>Net Interest Margin</w:t>
            </w:r>
          </w:p>
        </w:tc>
        <w:tc>
          <w:tcPr>
            <w:tcW w:w="2221" w:type="dxa"/>
            <w:gridSpan w:val="2"/>
            <w:noWrap/>
            <w:hideMark/>
          </w:tcPr>
          <w:p w:rsidR="00C9417B" w:rsidRPr="000906D7" w:rsidRDefault="00C9417B" w:rsidP="00C9417B">
            <w:r w:rsidRPr="000906D7">
              <w:t>7.69</w:t>
            </w:r>
          </w:p>
        </w:tc>
        <w:tc>
          <w:tcPr>
            <w:tcW w:w="2331" w:type="dxa"/>
            <w:gridSpan w:val="2"/>
            <w:noWrap/>
            <w:hideMark/>
          </w:tcPr>
          <w:p w:rsidR="00C9417B" w:rsidRPr="000906D7" w:rsidRDefault="00C9417B" w:rsidP="00C9417B">
            <w:r w:rsidRPr="000906D7">
              <w:t>8.10</w:t>
            </w:r>
          </w:p>
        </w:tc>
      </w:tr>
      <w:tr w:rsidR="00C9417B" w:rsidRPr="000906D7" w:rsidTr="00C9417B">
        <w:trPr>
          <w:trHeight w:val="312"/>
        </w:trPr>
        <w:tc>
          <w:tcPr>
            <w:tcW w:w="4798" w:type="dxa"/>
            <w:noWrap/>
            <w:hideMark/>
          </w:tcPr>
          <w:p w:rsidR="00C9417B" w:rsidRPr="000906D7" w:rsidRDefault="00C9417B" w:rsidP="00C9417B">
            <w:r w:rsidRPr="000906D7">
              <w:t>Return on Assets</w:t>
            </w:r>
          </w:p>
        </w:tc>
        <w:tc>
          <w:tcPr>
            <w:tcW w:w="2221" w:type="dxa"/>
            <w:gridSpan w:val="2"/>
            <w:noWrap/>
            <w:hideMark/>
          </w:tcPr>
          <w:p w:rsidR="00C9417B" w:rsidRPr="000906D7" w:rsidRDefault="00C9417B" w:rsidP="00C9417B">
            <w:r w:rsidRPr="000906D7">
              <w:t>3.25</w:t>
            </w:r>
          </w:p>
        </w:tc>
        <w:tc>
          <w:tcPr>
            <w:tcW w:w="2331" w:type="dxa"/>
            <w:gridSpan w:val="2"/>
            <w:noWrap/>
            <w:hideMark/>
          </w:tcPr>
          <w:p w:rsidR="00C9417B" w:rsidRPr="000906D7" w:rsidRDefault="00C9417B" w:rsidP="00C9417B">
            <w:r w:rsidRPr="000906D7">
              <w:t>3.85</w:t>
            </w:r>
          </w:p>
        </w:tc>
      </w:tr>
      <w:tr w:rsidR="00C9417B" w:rsidRPr="000906D7" w:rsidTr="00C9417B">
        <w:trPr>
          <w:trHeight w:val="312"/>
        </w:trPr>
        <w:tc>
          <w:tcPr>
            <w:tcW w:w="4798" w:type="dxa"/>
            <w:noWrap/>
            <w:hideMark/>
          </w:tcPr>
          <w:p w:rsidR="00C9417B" w:rsidRPr="000906D7" w:rsidRDefault="00C9417B" w:rsidP="00C9417B">
            <w:r w:rsidRPr="000906D7">
              <w:t>Return on Equity</w:t>
            </w:r>
          </w:p>
        </w:tc>
        <w:tc>
          <w:tcPr>
            <w:tcW w:w="2221" w:type="dxa"/>
            <w:gridSpan w:val="2"/>
            <w:noWrap/>
            <w:hideMark/>
          </w:tcPr>
          <w:p w:rsidR="00C9417B" w:rsidRPr="000906D7" w:rsidRDefault="00C9417B" w:rsidP="00C9417B">
            <w:r w:rsidRPr="000906D7">
              <w:t>8.68</w:t>
            </w:r>
          </w:p>
        </w:tc>
        <w:tc>
          <w:tcPr>
            <w:tcW w:w="2331" w:type="dxa"/>
            <w:gridSpan w:val="2"/>
            <w:noWrap/>
            <w:hideMark/>
          </w:tcPr>
          <w:p w:rsidR="00C9417B" w:rsidRPr="000906D7" w:rsidRDefault="00C9417B" w:rsidP="00C9417B">
            <w:r w:rsidRPr="000906D7">
              <w:t>7.68</w:t>
            </w:r>
          </w:p>
        </w:tc>
      </w:tr>
      <w:tr w:rsidR="00C9417B" w:rsidRPr="000906D7" w:rsidTr="00C9417B">
        <w:trPr>
          <w:trHeight w:val="312"/>
        </w:trPr>
        <w:tc>
          <w:tcPr>
            <w:tcW w:w="4798" w:type="dxa"/>
            <w:noWrap/>
            <w:hideMark/>
          </w:tcPr>
          <w:p w:rsidR="00C9417B" w:rsidRPr="000906D7" w:rsidRDefault="00C9417B" w:rsidP="00C9417B">
            <w:r w:rsidRPr="000906D7">
              <w:t>Cost to income Ratio</w:t>
            </w:r>
          </w:p>
        </w:tc>
        <w:tc>
          <w:tcPr>
            <w:tcW w:w="2221" w:type="dxa"/>
            <w:gridSpan w:val="2"/>
            <w:noWrap/>
            <w:hideMark/>
          </w:tcPr>
          <w:p w:rsidR="00C9417B" w:rsidRPr="000906D7" w:rsidRDefault="00C9417B" w:rsidP="00C9417B">
            <w:r w:rsidRPr="000906D7">
              <w:t>55.61</w:t>
            </w:r>
          </w:p>
        </w:tc>
        <w:tc>
          <w:tcPr>
            <w:tcW w:w="2331" w:type="dxa"/>
            <w:gridSpan w:val="2"/>
            <w:noWrap/>
            <w:hideMark/>
          </w:tcPr>
          <w:p w:rsidR="00C9417B" w:rsidRPr="000906D7" w:rsidRDefault="00C9417B" w:rsidP="00C9417B">
            <w:r w:rsidRPr="000906D7">
              <w:t>52.64</w:t>
            </w:r>
          </w:p>
        </w:tc>
      </w:tr>
      <w:tr w:rsidR="00C9417B" w:rsidRPr="000906D7" w:rsidTr="00C9417B">
        <w:trPr>
          <w:trHeight w:val="312"/>
        </w:trPr>
        <w:tc>
          <w:tcPr>
            <w:tcW w:w="4798" w:type="dxa"/>
            <w:noWrap/>
            <w:hideMark/>
          </w:tcPr>
          <w:p w:rsidR="00C9417B" w:rsidRPr="000906D7" w:rsidRDefault="00C9417B" w:rsidP="00C9417B">
            <w:pPr>
              <w:rPr>
                <w:b/>
                <w:bCs/>
              </w:rPr>
            </w:pPr>
            <w:r w:rsidRPr="000906D7">
              <w:rPr>
                <w:b/>
                <w:bCs/>
              </w:rPr>
              <w:t>Liquidity</w:t>
            </w:r>
          </w:p>
        </w:tc>
        <w:tc>
          <w:tcPr>
            <w:tcW w:w="2221" w:type="dxa"/>
            <w:gridSpan w:val="2"/>
            <w:noWrap/>
            <w:hideMark/>
          </w:tcPr>
          <w:p w:rsidR="00C9417B" w:rsidRPr="000906D7" w:rsidRDefault="00C9417B" w:rsidP="00C9417B">
            <w:r w:rsidRPr="000906D7">
              <w:t> </w:t>
            </w:r>
          </w:p>
        </w:tc>
        <w:tc>
          <w:tcPr>
            <w:tcW w:w="2331" w:type="dxa"/>
            <w:gridSpan w:val="2"/>
            <w:noWrap/>
            <w:hideMark/>
          </w:tcPr>
          <w:p w:rsidR="00C9417B" w:rsidRPr="000906D7" w:rsidRDefault="00C9417B" w:rsidP="00C9417B">
            <w:r w:rsidRPr="000906D7">
              <w:t> </w:t>
            </w:r>
          </w:p>
        </w:tc>
      </w:tr>
      <w:tr w:rsidR="00C9417B" w:rsidRPr="000906D7" w:rsidTr="00C9417B">
        <w:trPr>
          <w:trHeight w:val="312"/>
        </w:trPr>
        <w:tc>
          <w:tcPr>
            <w:tcW w:w="4798" w:type="dxa"/>
            <w:noWrap/>
            <w:hideMark/>
          </w:tcPr>
          <w:p w:rsidR="00C9417B" w:rsidRPr="000906D7" w:rsidRDefault="00C9417B" w:rsidP="00C9417B">
            <w:r w:rsidRPr="000906D7">
              <w:t>Available Liquid Assets to Required Liquid Assets (minimum 100%)</w:t>
            </w:r>
          </w:p>
        </w:tc>
        <w:tc>
          <w:tcPr>
            <w:tcW w:w="2221" w:type="dxa"/>
            <w:gridSpan w:val="2"/>
            <w:noWrap/>
            <w:hideMark/>
          </w:tcPr>
          <w:p w:rsidR="00C9417B" w:rsidRPr="000906D7" w:rsidRDefault="00C9417B" w:rsidP="00C9417B">
            <w:r w:rsidRPr="000906D7">
              <w:t>375.26</w:t>
            </w:r>
          </w:p>
        </w:tc>
        <w:tc>
          <w:tcPr>
            <w:tcW w:w="2331" w:type="dxa"/>
            <w:gridSpan w:val="2"/>
            <w:noWrap/>
            <w:hideMark/>
          </w:tcPr>
          <w:p w:rsidR="00C9417B" w:rsidRPr="000906D7" w:rsidRDefault="00C9417B" w:rsidP="00C9417B">
            <w:r w:rsidRPr="000906D7">
              <w:t>379.50</w:t>
            </w:r>
          </w:p>
        </w:tc>
      </w:tr>
      <w:tr w:rsidR="00C9417B" w:rsidRPr="000906D7" w:rsidTr="00C9417B">
        <w:trPr>
          <w:trHeight w:val="312"/>
        </w:trPr>
        <w:tc>
          <w:tcPr>
            <w:tcW w:w="4798" w:type="dxa"/>
            <w:noWrap/>
            <w:hideMark/>
          </w:tcPr>
          <w:p w:rsidR="00C9417B" w:rsidRPr="000906D7" w:rsidRDefault="00C9417B" w:rsidP="00C9417B">
            <w:r w:rsidRPr="000906D7">
              <w:t>Liquid Assets To External Funds</w:t>
            </w:r>
          </w:p>
        </w:tc>
        <w:tc>
          <w:tcPr>
            <w:tcW w:w="2221" w:type="dxa"/>
            <w:gridSpan w:val="2"/>
            <w:noWrap/>
            <w:hideMark/>
          </w:tcPr>
          <w:p w:rsidR="00C9417B" w:rsidRPr="000906D7" w:rsidRDefault="00C9417B" w:rsidP="00C9417B">
            <w:r w:rsidRPr="000906D7">
              <w:t>37.24</w:t>
            </w:r>
          </w:p>
        </w:tc>
        <w:tc>
          <w:tcPr>
            <w:tcW w:w="2331" w:type="dxa"/>
            <w:gridSpan w:val="2"/>
            <w:noWrap/>
            <w:hideMark/>
          </w:tcPr>
          <w:p w:rsidR="00C9417B" w:rsidRPr="000906D7" w:rsidRDefault="00C9417B" w:rsidP="00C9417B">
            <w:r w:rsidRPr="000906D7">
              <w:t>36.30</w:t>
            </w:r>
          </w:p>
        </w:tc>
      </w:tr>
      <w:tr w:rsidR="00C9417B" w:rsidRPr="000906D7" w:rsidTr="00C9417B">
        <w:trPr>
          <w:trHeight w:val="312"/>
        </w:trPr>
        <w:tc>
          <w:tcPr>
            <w:tcW w:w="4798" w:type="dxa"/>
            <w:noWrap/>
            <w:hideMark/>
          </w:tcPr>
          <w:p w:rsidR="00C9417B" w:rsidRPr="000906D7" w:rsidRDefault="00C9417B" w:rsidP="00C9417B">
            <w:pPr>
              <w:rPr>
                <w:b/>
                <w:bCs/>
              </w:rPr>
            </w:pPr>
            <w:r w:rsidRPr="000906D7">
              <w:rPr>
                <w:b/>
                <w:bCs/>
              </w:rPr>
              <w:t>Memorandum information</w:t>
            </w:r>
          </w:p>
        </w:tc>
        <w:tc>
          <w:tcPr>
            <w:tcW w:w="2221" w:type="dxa"/>
            <w:gridSpan w:val="2"/>
            <w:noWrap/>
            <w:hideMark/>
          </w:tcPr>
          <w:p w:rsidR="00C9417B" w:rsidRPr="000906D7" w:rsidRDefault="00C9417B" w:rsidP="00C9417B">
            <w:r w:rsidRPr="000906D7">
              <w:t> </w:t>
            </w:r>
          </w:p>
        </w:tc>
        <w:tc>
          <w:tcPr>
            <w:tcW w:w="2331" w:type="dxa"/>
            <w:gridSpan w:val="2"/>
            <w:noWrap/>
            <w:hideMark/>
          </w:tcPr>
          <w:p w:rsidR="00C9417B" w:rsidRPr="000906D7" w:rsidRDefault="00C9417B" w:rsidP="00C9417B">
            <w:r w:rsidRPr="000906D7">
              <w:t> </w:t>
            </w:r>
          </w:p>
        </w:tc>
      </w:tr>
      <w:tr w:rsidR="00C9417B" w:rsidRPr="000906D7" w:rsidTr="00C9417B">
        <w:trPr>
          <w:trHeight w:val="312"/>
        </w:trPr>
        <w:tc>
          <w:tcPr>
            <w:tcW w:w="4798" w:type="dxa"/>
            <w:noWrap/>
            <w:hideMark/>
          </w:tcPr>
          <w:p w:rsidR="00C9417B" w:rsidRPr="000906D7" w:rsidRDefault="00C9417B" w:rsidP="00C9417B">
            <w:r w:rsidRPr="000906D7">
              <w:t>Number of Branches</w:t>
            </w:r>
          </w:p>
        </w:tc>
        <w:tc>
          <w:tcPr>
            <w:tcW w:w="2221" w:type="dxa"/>
            <w:gridSpan w:val="2"/>
            <w:noWrap/>
            <w:hideMark/>
          </w:tcPr>
          <w:p w:rsidR="00C9417B" w:rsidRPr="000906D7" w:rsidRDefault="00C9417B" w:rsidP="00C9417B">
            <w:r w:rsidRPr="000906D7">
              <w:t>108</w:t>
            </w:r>
          </w:p>
        </w:tc>
        <w:tc>
          <w:tcPr>
            <w:tcW w:w="2331" w:type="dxa"/>
            <w:gridSpan w:val="2"/>
            <w:noWrap/>
            <w:hideMark/>
          </w:tcPr>
          <w:p w:rsidR="00C9417B" w:rsidRPr="000906D7" w:rsidRDefault="00C9417B" w:rsidP="00C9417B">
            <w:r w:rsidRPr="000906D7">
              <w:t>111</w:t>
            </w:r>
          </w:p>
        </w:tc>
      </w:tr>
      <w:tr w:rsidR="00C9417B" w:rsidRPr="000906D7" w:rsidTr="00C9417B">
        <w:trPr>
          <w:trHeight w:val="1530"/>
        </w:trPr>
        <w:tc>
          <w:tcPr>
            <w:tcW w:w="4798" w:type="dxa"/>
            <w:noWrap/>
            <w:hideMark/>
          </w:tcPr>
          <w:p w:rsidR="00C9417B" w:rsidRPr="000906D7" w:rsidRDefault="00C9417B" w:rsidP="00C9417B">
            <w:r w:rsidRPr="000906D7">
              <w:t>External Credit Rating</w:t>
            </w:r>
          </w:p>
        </w:tc>
        <w:tc>
          <w:tcPr>
            <w:tcW w:w="2221" w:type="dxa"/>
            <w:gridSpan w:val="2"/>
            <w:hideMark/>
          </w:tcPr>
          <w:p w:rsidR="00C9417B" w:rsidRPr="000906D7" w:rsidRDefault="00C9417B" w:rsidP="00C9417B">
            <w:r w:rsidRPr="000906D7">
              <w:t>A- (</w:t>
            </w:r>
            <w:proofErr w:type="spellStart"/>
            <w:r w:rsidRPr="000906D7">
              <w:t>Ika</w:t>
            </w:r>
            <w:proofErr w:type="spellEnd"/>
            <w:r w:rsidRPr="000906D7">
              <w:t>); Removes Watch Negative Outlook Stable by Fitch Rating Lanka Limited</w:t>
            </w:r>
          </w:p>
        </w:tc>
        <w:tc>
          <w:tcPr>
            <w:tcW w:w="2331" w:type="dxa"/>
            <w:gridSpan w:val="2"/>
            <w:hideMark/>
          </w:tcPr>
          <w:p w:rsidR="00C9417B" w:rsidRPr="000906D7" w:rsidRDefault="00C9417B" w:rsidP="00C9417B">
            <w:r w:rsidRPr="000906D7">
              <w:t>A- (</w:t>
            </w:r>
            <w:proofErr w:type="spellStart"/>
            <w:r w:rsidRPr="000906D7">
              <w:t>Ika</w:t>
            </w:r>
            <w:proofErr w:type="spellEnd"/>
            <w:r w:rsidRPr="000906D7">
              <w:t>) by Fitch Ratings Lanka Limited (RWN)</w:t>
            </w:r>
          </w:p>
        </w:tc>
      </w:tr>
    </w:tbl>
    <w:p w:rsidR="0095763B" w:rsidRDefault="0095763B" w:rsidP="000906D7"/>
    <w:p w:rsidR="000906D7" w:rsidRDefault="000906D7" w:rsidP="000906D7">
      <w:r>
        <w:lastRenderedPageBreak/>
        <w:t>CERTIFICATION</w:t>
      </w:r>
      <w:r>
        <w:tab/>
      </w:r>
      <w:r>
        <w:tab/>
      </w:r>
      <w:r>
        <w:tab/>
      </w:r>
      <w:r>
        <w:tab/>
      </w:r>
      <w:r>
        <w:tab/>
      </w:r>
      <w:r>
        <w:tab/>
      </w:r>
      <w:r>
        <w:tab/>
      </w:r>
      <w:r>
        <w:tab/>
      </w:r>
    </w:p>
    <w:p w:rsidR="000906D7" w:rsidRDefault="000906D7" w:rsidP="000906D7">
      <w:r>
        <w:tab/>
      </w:r>
      <w:r>
        <w:tab/>
      </w:r>
      <w:r>
        <w:tab/>
      </w:r>
      <w:r>
        <w:tab/>
      </w:r>
      <w:r>
        <w:tab/>
      </w:r>
      <w:r>
        <w:tab/>
      </w:r>
      <w:r>
        <w:tab/>
      </w:r>
      <w:r>
        <w:tab/>
      </w:r>
    </w:p>
    <w:p w:rsidR="000906D7" w:rsidRDefault="000906D7" w:rsidP="000906D7">
      <w:r>
        <w:t>We the undersigned, being the Acting Chief Executive Officer, the Deputy General Manager- Finance and the Compliance Officer of People's Leasing &amp; Finance PLC certify jointly that:</w:t>
      </w:r>
      <w:r>
        <w:tab/>
      </w:r>
      <w:r>
        <w:tab/>
      </w:r>
      <w:r>
        <w:tab/>
      </w:r>
      <w:r>
        <w:tab/>
      </w:r>
      <w:r>
        <w:tab/>
      </w:r>
      <w:r>
        <w:tab/>
      </w:r>
      <w:r>
        <w:tab/>
      </w:r>
      <w:r>
        <w:tab/>
      </w:r>
    </w:p>
    <w:p w:rsidR="000906D7" w:rsidRDefault="000906D7" w:rsidP="000906D7">
      <w:r>
        <w:tab/>
      </w:r>
      <w:r>
        <w:tab/>
      </w:r>
      <w:r>
        <w:tab/>
      </w:r>
      <w:r>
        <w:tab/>
      </w:r>
      <w:r>
        <w:tab/>
      </w:r>
      <w:r>
        <w:tab/>
      </w:r>
      <w:r>
        <w:tab/>
      </w:r>
      <w:r>
        <w:tab/>
      </w:r>
    </w:p>
    <w:p w:rsidR="000906D7" w:rsidRDefault="000906D7" w:rsidP="000906D7">
      <w:r>
        <w:t>a). the above statements have been prepared in compliance with the format and the definitions prescribed by the Central Bank of Sri Lanka (CBSL);</w:t>
      </w:r>
      <w:r>
        <w:tab/>
      </w:r>
      <w:r>
        <w:tab/>
      </w:r>
      <w:r>
        <w:tab/>
      </w:r>
      <w:r>
        <w:tab/>
      </w:r>
      <w:r>
        <w:tab/>
      </w:r>
      <w:r>
        <w:tab/>
      </w:r>
      <w:r>
        <w:tab/>
      </w:r>
      <w:r>
        <w:tab/>
      </w:r>
    </w:p>
    <w:p w:rsidR="000906D7" w:rsidRDefault="000906D7" w:rsidP="000906D7">
      <w:r>
        <w:tab/>
      </w:r>
      <w:r>
        <w:tab/>
      </w:r>
      <w:r>
        <w:tab/>
      </w:r>
      <w:r>
        <w:tab/>
      </w:r>
      <w:r>
        <w:tab/>
      </w:r>
      <w:r>
        <w:tab/>
      </w:r>
      <w:r>
        <w:tab/>
      </w:r>
      <w:r>
        <w:tab/>
      </w:r>
    </w:p>
    <w:p w:rsidR="000906D7" w:rsidRDefault="000906D7" w:rsidP="000906D7">
      <w:r>
        <w:t xml:space="preserve">b). the information contained in these financial statements have been extracted from the unaudited financial statements of the licensed </w:t>
      </w:r>
      <w:proofErr w:type="spellStart"/>
      <w:r>
        <w:t>finace</w:t>
      </w:r>
      <w:proofErr w:type="spellEnd"/>
      <w:r>
        <w:t xml:space="preserve"> company unless indicated as audited.</w:t>
      </w:r>
      <w:r>
        <w:tab/>
      </w:r>
      <w:r>
        <w:tab/>
      </w:r>
      <w:r>
        <w:tab/>
      </w:r>
      <w:r>
        <w:tab/>
      </w:r>
      <w:r>
        <w:tab/>
      </w:r>
      <w:r>
        <w:tab/>
      </w:r>
      <w:r>
        <w:tab/>
      </w:r>
      <w:r>
        <w:tab/>
      </w:r>
    </w:p>
    <w:p w:rsidR="000906D7" w:rsidRDefault="000906D7" w:rsidP="000906D7">
      <w:r>
        <w:tab/>
      </w:r>
      <w:r>
        <w:tab/>
      </w:r>
      <w:r>
        <w:tab/>
      </w:r>
      <w:r>
        <w:tab/>
      </w:r>
      <w:r>
        <w:tab/>
      </w:r>
      <w:r>
        <w:tab/>
      </w:r>
      <w:r>
        <w:tab/>
      </w:r>
      <w:r>
        <w:tab/>
      </w:r>
    </w:p>
    <w:p w:rsidR="000906D7" w:rsidRDefault="000906D7" w:rsidP="000906D7">
      <w:r w:rsidRPr="00EB1766">
        <w:rPr>
          <w:b/>
          <w:bCs/>
        </w:rPr>
        <w:t>(</w:t>
      </w:r>
      <w:proofErr w:type="spellStart"/>
      <w:proofErr w:type="gramStart"/>
      <w:r w:rsidRPr="00EB1766">
        <w:rPr>
          <w:b/>
          <w:bCs/>
        </w:rPr>
        <w:t>sgd</w:t>
      </w:r>
      <w:proofErr w:type="spellEnd"/>
      <w:proofErr w:type="gramEnd"/>
      <w:r w:rsidRPr="00EB1766">
        <w:rPr>
          <w:b/>
          <w:bCs/>
        </w:rPr>
        <w:t>).</w:t>
      </w:r>
      <w:r w:rsidRPr="00EB1766">
        <w:rPr>
          <w:b/>
          <w:bCs/>
        </w:rPr>
        <w:tab/>
      </w:r>
      <w:r>
        <w:tab/>
      </w:r>
      <w:r>
        <w:tab/>
      </w:r>
      <w:r>
        <w:tab/>
      </w:r>
      <w:r w:rsidRPr="00EB1766">
        <w:rPr>
          <w:b/>
          <w:bCs/>
        </w:rPr>
        <w:t xml:space="preserve">                                            (</w:t>
      </w:r>
      <w:proofErr w:type="spellStart"/>
      <w:proofErr w:type="gramStart"/>
      <w:r w:rsidRPr="00EB1766">
        <w:rPr>
          <w:b/>
          <w:bCs/>
        </w:rPr>
        <w:t>sgd</w:t>
      </w:r>
      <w:proofErr w:type="spellEnd"/>
      <w:proofErr w:type="gramEnd"/>
      <w:r w:rsidRPr="00EB1766">
        <w:rPr>
          <w:b/>
          <w:bCs/>
        </w:rPr>
        <w:t>).</w:t>
      </w:r>
      <w:r w:rsidRPr="00EB1766">
        <w:rPr>
          <w:b/>
          <w:bCs/>
        </w:rPr>
        <w:tab/>
      </w:r>
      <w:r>
        <w:tab/>
      </w:r>
      <w:r>
        <w:tab/>
      </w:r>
      <w:r>
        <w:tab/>
      </w:r>
    </w:p>
    <w:p w:rsidR="000906D7" w:rsidRDefault="000906D7" w:rsidP="000906D7">
      <w:proofErr w:type="spellStart"/>
      <w:r>
        <w:t>Udesh</w:t>
      </w:r>
      <w:proofErr w:type="spellEnd"/>
      <w:r>
        <w:t xml:space="preserve"> </w:t>
      </w:r>
      <w:proofErr w:type="spellStart"/>
      <w:r>
        <w:t>Gunawardena</w:t>
      </w:r>
      <w:proofErr w:type="spellEnd"/>
      <w:r>
        <w:tab/>
      </w:r>
      <w:r>
        <w:tab/>
      </w:r>
      <w:r>
        <w:tab/>
      </w:r>
      <w:r>
        <w:tab/>
        <w:t xml:space="preserve">                </w:t>
      </w:r>
      <w:proofErr w:type="spellStart"/>
      <w:r>
        <w:t>Omal</w:t>
      </w:r>
      <w:proofErr w:type="spellEnd"/>
      <w:r>
        <w:t xml:space="preserve"> Sumanasiri</w:t>
      </w:r>
      <w:r>
        <w:tab/>
      </w:r>
      <w:r>
        <w:tab/>
      </w:r>
      <w:r>
        <w:tab/>
      </w:r>
      <w:r>
        <w:tab/>
      </w:r>
    </w:p>
    <w:p w:rsidR="000906D7" w:rsidRDefault="000906D7" w:rsidP="000906D7">
      <w:r>
        <w:t xml:space="preserve">Chief </w:t>
      </w:r>
      <w:proofErr w:type="spellStart"/>
      <w:r>
        <w:t>Oerating</w:t>
      </w:r>
      <w:proofErr w:type="spellEnd"/>
      <w:r>
        <w:t xml:space="preserve"> Officer/Acting CEO</w:t>
      </w:r>
      <w:r>
        <w:tab/>
      </w:r>
      <w:r>
        <w:tab/>
      </w:r>
      <w:r>
        <w:tab/>
        <w:t>Deputy General Manager</w:t>
      </w:r>
      <w:r>
        <w:tab/>
      </w:r>
      <w:r>
        <w:tab/>
      </w:r>
      <w:r>
        <w:tab/>
      </w:r>
      <w:r>
        <w:tab/>
      </w:r>
      <w:r>
        <w:tab/>
      </w:r>
    </w:p>
    <w:p w:rsidR="000906D7" w:rsidRDefault="000906D7" w:rsidP="000906D7">
      <w:r>
        <w:t>28-May-24</w:t>
      </w:r>
      <w:r>
        <w:tab/>
      </w:r>
      <w:r>
        <w:tab/>
      </w:r>
      <w:r>
        <w:tab/>
      </w:r>
      <w:r>
        <w:tab/>
        <w:t>-                             28-May-24</w:t>
      </w:r>
      <w:r>
        <w:tab/>
      </w:r>
      <w:r>
        <w:tab/>
      </w:r>
      <w:r>
        <w:tab/>
      </w:r>
      <w:r>
        <w:tab/>
      </w:r>
    </w:p>
    <w:p w:rsidR="000906D7" w:rsidRDefault="000906D7" w:rsidP="000906D7">
      <w:r>
        <w:tab/>
      </w:r>
      <w:r>
        <w:tab/>
      </w:r>
      <w:r>
        <w:tab/>
      </w:r>
      <w:r>
        <w:tab/>
      </w:r>
      <w:r>
        <w:tab/>
      </w:r>
      <w:r>
        <w:tab/>
      </w:r>
      <w:r>
        <w:tab/>
      </w:r>
      <w:r>
        <w:tab/>
      </w:r>
    </w:p>
    <w:p w:rsidR="000906D7" w:rsidRDefault="000906D7" w:rsidP="000906D7"/>
    <w:p w:rsidR="000906D7" w:rsidRPr="00EB1766" w:rsidRDefault="000906D7" w:rsidP="000906D7">
      <w:pPr>
        <w:rPr>
          <w:b/>
          <w:bCs/>
        </w:rPr>
      </w:pPr>
      <w:bookmarkStart w:id="0" w:name="_GoBack"/>
      <w:r w:rsidRPr="00EB1766">
        <w:rPr>
          <w:b/>
          <w:bCs/>
        </w:rPr>
        <w:t>(</w:t>
      </w:r>
      <w:proofErr w:type="spellStart"/>
      <w:proofErr w:type="gramStart"/>
      <w:r w:rsidRPr="00EB1766">
        <w:rPr>
          <w:b/>
          <w:bCs/>
        </w:rPr>
        <w:t>sgd</w:t>
      </w:r>
      <w:proofErr w:type="spellEnd"/>
      <w:proofErr w:type="gramEnd"/>
      <w:r w:rsidRPr="00EB1766">
        <w:rPr>
          <w:b/>
          <w:bCs/>
        </w:rPr>
        <w:t>).</w:t>
      </w:r>
      <w:r w:rsidRPr="00EB1766">
        <w:rPr>
          <w:b/>
          <w:bCs/>
        </w:rPr>
        <w:tab/>
      </w:r>
      <w:bookmarkEnd w:id="0"/>
      <w:r w:rsidRPr="00EB1766">
        <w:rPr>
          <w:b/>
          <w:bCs/>
        </w:rPr>
        <w:tab/>
      </w:r>
      <w:r w:rsidRPr="00EB1766">
        <w:rPr>
          <w:b/>
          <w:bCs/>
        </w:rPr>
        <w:tab/>
      </w:r>
      <w:r w:rsidRPr="00EB1766">
        <w:rPr>
          <w:b/>
          <w:bCs/>
        </w:rPr>
        <w:tab/>
      </w:r>
      <w:r w:rsidRPr="00EB1766">
        <w:rPr>
          <w:b/>
          <w:bCs/>
        </w:rPr>
        <w:tab/>
      </w:r>
      <w:r w:rsidRPr="00EB1766">
        <w:rPr>
          <w:b/>
          <w:bCs/>
        </w:rPr>
        <w:tab/>
      </w:r>
      <w:r w:rsidRPr="00EB1766">
        <w:rPr>
          <w:b/>
          <w:bCs/>
        </w:rPr>
        <w:tab/>
      </w:r>
      <w:r w:rsidRPr="00EB1766">
        <w:rPr>
          <w:b/>
          <w:bCs/>
        </w:rPr>
        <w:tab/>
      </w:r>
    </w:p>
    <w:p w:rsidR="000906D7" w:rsidRDefault="000906D7" w:rsidP="000906D7">
      <w:proofErr w:type="spellStart"/>
      <w:r>
        <w:t>Zairaa</w:t>
      </w:r>
      <w:proofErr w:type="spellEnd"/>
      <w:r>
        <w:t xml:space="preserve"> </w:t>
      </w:r>
      <w:proofErr w:type="spellStart"/>
      <w:r>
        <w:t>Kaleel</w:t>
      </w:r>
      <w:proofErr w:type="spellEnd"/>
      <w:r>
        <w:tab/>
      </w:r>
      <w:r>
        <w:tab/>
      </w:r>
      <w:r>
        <w:tab/>
      </w:r>
      <w:r>
        <w:tab/>
      </w:r>
      <w:r>
        <w:tab/>
      </w:r>
      <w:r>
        <w:tab/>
      </w:r>
      <w:r>
        <w:tab/>
      </w:r>
      <w:r>
        <w:tab/>
      </w:r>
    </w:p>
    <w:p w:rsidR="000906D7" w:rsidRDefault="000906D7" w:rsidP="000906D7">
      <w:r>
        <w:t>Compliance Officer</w:t>
      </w:r>
      <w:r>
        <w:tab/>
      </w:r>
      <w:r>
        <w:tab/>
      </w:r>
      <w:r>
        <w:tab/>
      </w:r>
      <w:r>
        <w:tab/>
      </w:r>
      <w:r>
        <w:tab/>
      </w:r>
      <w:r>
        <w:tab/>
      </w:r>
      <w:r>
        <w:tab/>
      </w:r>
      <w:r>
        <w:tab/>
      </w:r>
    </w:p>
    <w:p w:rsidR="000906D7" w:rsidRPr="000906D7" w:rsidRDefault="000906D7" w:rsidP="000906D7">
      <w:r>
        <w:t>28-May-24</w:t>
      </w:r>
      <w:r>
        <w:tab/>
      </w:r>
      <w:r>
        <w:tab/>
      </w:r>
      <w:r>
        <w:tab/>
      </w:r>
      <w:r>
        <w:tab/>
      </w:r>
      <w:r>
        <w:tab/>
      </w:r>
      <w:r>
        <w:tab/>
      </w:r>
      <w:r>
        <w:tab/>
      </w:r>
      <w:r>
        <w:tab/>
      </w:r>
    </w:p>
    <w:sectPr w:rsidR="000906D7" w:rsidRPr="00090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20603050405030304"/>
    <w:charset w:val="00"/>
    <w:family w:val="roman"/>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D7"/>
    <w:rsid w:val="000906D7"/>
    <w:rsid w:val="005F388B"/>
    <w:rsid w:val="00613D2D"/>
    <w:rsid w:val="0095763B"/>
    <w:rsid w:val="00C9417B"/>
    <w:rsid w:val="00EB176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B18B2-CDAE-4592-83F5-D1487FE5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35246">
      <w:bodyDiv w:val="1"/>
      <w:marLeft w:val="0"/>
      <w:marRight w:val="0"/>
      <w:marTop w:val="0"/>
      <w:marBottom w:val="0"/>
      <w:divBdr>
        <w:top w:val="none" w:sz="0" w:space="0" w:color="auto"/>
        <w:left w:val="none" w:sz="0" w:space="0" w:color="auto"/>
        <w:bottom w:val="none" w:sz="0" w:space="0" w:color="auto"/>
        <w:right w:val="none" w:sz="0" w:space="0" w:color="auto"/>
      </w:divBdr>
    </w:div>
    <w:div w:id="260995137">
      <w:bodyDiv w:val="1"/>
      <w:marLeft w:val="0"/>
      <w:marRight w:val="0"/>
      <w:marTop w:val="0"/>
      <w:marBottom w:val="0"/>
      <w:divBdr>
        <w:top w:val="none" w:sz="0" w:space="0" w:color="auto"/>
        <w:left w:val="none" w:sz="0" w:space="0" w:color="auto"/>
        <w:bottom w:val="none" w:sz="0" w:space="0" w:color="auto"/>
        <w:right w:val="none" w:sz="0" w:space="0" w:color="auto"/>
      </w:divBdr>
    </w:div>
    <w:div w:id="657804810">
      <w:bodyDiv w:val="1"/>
      <w:marLeft w:val="0"/>
      <w:marRight w:val="0"/>
      <w:marTop w:val="0"/>
      <w:marBottom w:val="0"/>
      <w:divBdr>
        <w:top w:val="none" w:sz="0" w:space="0" w:color="auto"/>
        <w:left w:val="none" w:sz="0" w:space="0" w:color="auto"/>
        <w:bottom w:val="none" w:sz="0" w:space="0" w:color="auto"/>
        <w:right w:val="none" w:sz="0" w:space="0" w:color="auto"/>
      </w:divBdr>
    </w:div>
    <w:div w:id="11438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PLC</dc:creator>
  <cp:keywords/>
  <dc:description/>
  <cp:lastModifiedBy>PLC</cp:lastModifiedBy>
  <cp:revision>7</cp:revision>
  <dcterms:created xsi:type="dcterms:W3CDTF">2024-07-09T07:18:00Z</dcterms:created>
  <dcterms:modified xsi:type="dcterms:W3CDTF">2024-07-10T05:26:00Z</dcterms:modified>
</cp:coreProperties>
</file>