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CC" w:rsidRPr="00C82ACC" w:rsidRDefault="00C82ACC" w:rsidP="00C82ACC">
      <w:pPr>
        <w:jc w:val="center"/>
        <w:rPr>
          <w:b/>
          <w:bCs/>
        </w:rPr>
      </w:pPr>
      <w:r w:rsidRPr="00C82ACC">
        <w:rPr>
          <w:b/>
          <w:bCs/>
          <w:sz w:val="32"/>
        </w:rPr>
        <w:t>People’s Leasing &amp; Finance PLC</w:t>
      </w:r>
    </w:p>
    <w:p w:rsidR="00C82ACC" w:rsidRDefault="00C82ACC" w:rsidP="00C82ACC">
      <w:pPr>
        <w:jc w:val="center"/>
      </w:pPr>
    </w:p>
    <w:p w:rsidR="00C82ACC" w:rsidRPr="00C82ACC" w:rsidRDefault="00C82ACC" w:rsidP="00C82ACC">
      <w:pPr>
        <w:jc w:val="center"/>
        <w:rPr>
          <w:b/>
          <w:bCs/>
        </w:rPr>
      </w:pPr>
      <w:r w:rsidRPr="00C82ACC">
        <w:rPr>
          <w:b/>
          <w:bCs/>
        </w:rPr>
        <w:t>(A Subsidiary of People’s Bank)</w:t>
      </w:r>
    </w:p>
    <w:p w:rsidR="00C82ACC" w:rsidRPr="009515DC" w:rsidRDefault="00C82ACC" w:rsidP="00C82ACC">
      <w:pPr>
        <w:jc w:val="center"/>
        <w:rPr>
          <w:sz w:val="16"/>
          <w:szCs w:val="16"/>
        </w:rPr>
      </w:pPr>
    </w:p>
    <w:p w:rsidR="006E0C45" w:rsidRDefault="00D0483D" w:rsidP="00C82ACC">
      <w:pPr>
        <w:jc w:val="center"/>
      </w:pPr>
      <w:r>
        <w:t>Rated A</w:t>
      </w:r>
      <w:proofErr w:type="gramStart"/>
      <w:r>
        <w:t>+</w:t>
      </w:r>
      <w:r w:rsidR="00C82ACC">
        <w:t>(</w:t>
      </w:r>
      <w:proofErr w:type="spellStart"/>
      <w:proofErr w:type="gramEnd"/>
      <w:r w:rsidR="00C82ACC">
        <w:t>lka</w:t>
      </w:r>
      <w:proofErr w:type="spellEnd"/>
      <w:r w:rsidR="00C82ACC">
        <w:t xml:space="preserve">) by Fitch Ratings Lanka </w:t>
      </w:r>
    </w:p>
    <w:p w:rsidR="006E0C45" w:rsidRDefault="006E0C45" w:rsidP="00C82ACC">
      <w:pPr>
        <w:jc w:val="center"/>
      </w:pPr>
    </w:p>
    <w:p w:rsidR="00C82ACC" w:rsidRPr="00C82ACC" w:rsidRDefault="00C82ACC" w:rsidP="00C82ACC">
      <w:pPr>
        <w:jc w:val="center"/>
        <w:rPr>
          <w:b/>
          <w:bCs/>
        </w:rPr>
      </w:pPr>
      <w:r w:rsidRPr="00C82ACC">
        <w:rPr>
          <w:b/>
          <w:bCs/>
        </w:rPr>
        <w:t xml:space="preserve">AUDITED FINANCIAL STATEMENTS </w:t>
      </w:r>
      <w:r w:rsidR="00657620">
        <w:rPr>
          <w:b/>
          <w:bCs/>
        </w:rPr>
        <w:t>FOR THE YEAR ENDED 31 MARCH 20</w:t>
      </w:r>
      <w:r w:rsidR="006E0C45">
        <w:rPr>
          <w:b/>
          <w:bCs/>
        </w:rPr>
        <w:t>20</w:t>
      </w:r>
    </w:p>
    <w:p w:rsidR="00C82ACC" w:rsidRPr="009515DC" w:rsidRDefault="00C82ACC" w:rsidP="00C82ACC">
      <w:pPr>
        <w:rPr>
          <w:sz w:val="16"/>
          <w:szCs w:val="16"/>
        </w:rPr>
      </w:pPr>
    </w:p>
    <w:p w:rsidR="006E0C45" w:rsidRDefault="006E0C45" w:rsidP="006E0C45">
      <w:r>
        <w:t>The Chairman</w:t>
      </w:r>
    </w:p>
    <w:p w:rsidR="006E0C45" w:rsidRDefault="006E0C45" w:rsidP="006E0C45">
      <w:r>
        <w:t>People Leasing &amp; Finance PLC</w:t>
      </w:r>
    </w:p>
    <w:p w:rsidR="006E0C45" w:rsidRDefault="006E0C45" w:rsidP="006E0C45"/>
    <w:p w:rsidR="006E0C45" w:rsidRDefault="006E0C45" w:rsidP="006E0C45">
      <w:r>
        <w:t>Report of the Auditor General on the Financial Statements and Other Legal and Regulatory Requirements of the People’s Leasing &amp; Finance PLC and its subsidiaries for the year ended 31 March 2020 in terms of Section 12 of the National Audit Act, No. 19 of 2018.</w:t>
      </w:r>
    </w:p>
    <w:p w:rsidR="006E0C45" w:rsidRDefault="006E0C45" w:rsidP="006E0C45"/>
    <w:p w:rsidR="006E0C45" w:rsidRPr="00091166" w:rsidRDefault="006E0C45" w:rsidP="006E0C45">
      <w:pPr>
        <w:rPr>
          <w:b/>
          <w:bCs/>
        </w:rPr>
      </w:pPr>
      <w:r w:rsidRPr="00091166">
        <w:rPr>
          <w:b/>
          <w:bCs/>
        </w:rPr>
        <w:t>Financial Statements</w:t>
      </w:r>
    </w:p>
    <w:p w:rsidR="006E0C45" w:rsidRPr="00091166" w:rsidRDefault="006E0C45" w:rsidP="006E0C45">
      <w:pPr>
        <w:rPr>
          <w:b/>
          <w:bCs/>
          <w:sz w:val="12"/>
          <w:szCs w:val="12"/>
        </w:rPr>
      </w:pPr>
    </w:p>
    <w:p w:rsidR="006E0C45" w:rsidRDefault="006E0C45" w:rsidP="006E0C45">
      <w:r w:rsidRPr="00091166">
        <w:rPr>
          <w:b/>
          <w:bCs/>
        </w:rPr>
        <w:t>1.1 Opinion</w:t>
      </w:r>
    </w:p>
    <w:p w:rsidR="006E0C45" w:rsidRPr="00091166" w:rsidRDefault="006E0C45" w:rsidP="006E0C45">
      <w:pPr>
        <w:rPr>
          <w:sz w:val="12"/>
          <w:szCs w:val="12"/>
        </w:rPr>
      </w:pPr>
    </w:p>
    <w:p w:rsidR="006E0C45" w:rsidRDefault="006E0C45" w:rsidP="006E0C45">
      <w:r>
        <w:t>The audit of the Financial Statements of the People’s Leasing &amp; Finance PLC (the “Company”) and the Consolidated Financial Statements of the People’s Leasing &amp; Finance PLC and its subsidiaries (the “Group”) for the year ended 3l March 2020 comprising the Statement of Financial Position as at 31 March 2020, and Statement of Profit or Loss, Statement of Comprehensive Income, Statement of Changes in Equity and Statement of Cash Flows for the year then ended, and notes to the Financial Statements, including a summary of significant accounting policies, was carried out under my direction in pursuance of provisions in Article 154 (1) of the Constitution of the Democratic Socialist Republic of Sri Lanka read in conjunction with provisions of the National Audit Act, No. 19 of 2018. My report to Parliament in pursuance of provisions in Article 154 (6) of the Constitution will be tabled in due course. To carry out this audit I was assisted by a firm of Chartered Accountants in public practice.</w:t>
      </w:r>
    </w:p>
    <w:p w:rsidR="006E0C45" w:rsidRDefault="006E0C45" w:rsidP="006E0C45"/>
    <w:p w:rsidR="006E0C45" w:rsidRDefault="006E0C45" w:rsidP="006E0C45">
      <w:r>
        <w:t xml:space="preserve">In my opinion, the accompanying Financial Statements of the Company and the Group give a true and fair view of the Financial Position of the Company and the Group as at 31 March </w:t>
      </w:r>
      <w:proofErr w:type="gramStart"/>
      <w:r>
        <w:t>2020,</w:t>
      </w:r>
      <w:proofErr w:type="gramEnd"/>
      <w:r>
        <w:t xml:space="preserve"> and of their financial performance and cash flows for the year then ended in accordance with Sri Lanka Accounting Standards.</w:t>
      </w:r>
    </w:p>
    <w:p w:rsidR="006E0C45" w:rsidRDefault="006E0C45" w:rsidP="006E0C45"/>
    <w:p w:rsidR="006E0C45" w:rsidRPr="00091166" w:rsidRDefault="006E0C45" w:rsidP="006E0C45">
      <w:pPr>
        <w:rPr>
          <w:b/>
          <w:bCs/>
        </w:rPr>
      </w:pPr>
      <w:r w:rsidRPr="00091166">
        <w:rPr>
          <w:b/>
          <w:bCs/>
        </w:rPr>
        <w:t>1.2 Basis for opinion</w:t>
      </w:r>
    </w:p>
    <w:p w:rsidR="006E0C45" w:rsidRPr="00091166" w:rsidRDefault="006E0C45" w:rsidP="006E0C45">
      <w:pPr>
        <w:rPr>
          <w:sz w:val="12"/>
          <w:szCs w:val="12"/>
        </w:rPr>
      </w:pPr>
    </w:p>
    <w:p w:rsidR="006E0C45" w:rsidRDefault="006E0C45" w:rsidP="006E0C45">
      <w:r>
        <w:t>I conducted my audit in accordance with Sri Lanka Auditing Standards (</w:t>
      </w:r>
      <w:proofErr w:type="spellStart"/>
      <w:r>
        <w:t>SLAuSs</w:t>
      </w:r>
      <w:proofErr w:type="spellEnd"/>
      <w:r>
        <w:t>). My responsibilities, under those standards are further described in the Auditor’s Responsibilities for the Audit of the Financial Statements section of my report. I believe that the audit evidence I have obtained is sufficient and appropriate to provide a basis for my opinion.</w:t>
      </w:r>
    </w:p>
    <w:p w:rsidR="006E0C45" w:rsidRDefault="006E0C45" w:rsidP="006E0C45"/>
    <w:p w:rsidR="006E0C45" w:rsidRPr="00091166" w:rsidRDefault="006E0C45" w:rsidP="006E0C45">
      <w:pPr>
        <w:rPr>
          <w:b/>
          <w:bCs/>
        </w:rPr>
      </w:pPr>
      <w:r w:rsidRPr="00091166">
        <w:rPr>
          <w:b/>
          <w:bCs/>
        </w:rPr>
        <w:t xml:space="preserve">1.3 Key audit matters </w:t>
      </w:r>
    </w:p>
    <w:p w:rsidR="006E0C45" w:rsidRPr="00091166" w:rsidRDefault="006E0C45" w:rsidP="006E0C45">
      <w:pPr>
        <w:rPr>
          <w:sz w:val="12"/>
          <w:szCs w:val="12"/>
        </w:rPr>
      </w:pPr>
    </w:p>
    <w:p w:rsidR="00C82ACC" w:rsidRDefault="006E0C45" w:rsidP="006E0C45">
      <w:r>
        <w:t xml:space="preserve">Key Audit Matters are those matters that, in my professional </w:t>
      </w:r>
      <w:proofErr w:type="spellStart"/>
      <w:r>
        <w:t>judgement</w:t>
      </w:r>
      <w:proofErr w:type="spellEnd"/>
      <w:r>
        <w:t>, were of most significance in my audit of the Financial Statements of the current period. These matters were addressed in the context of my audit of the Financial Statements of the Company and the Consolidated Financial Statements of the Group as a whole, and in forming my audit opinion thereon, and I do not provide a separate opinion on these matters.</w:t>
      </w:r>
    </w:p>
    <w:p w:rsidR="00FB1853" w:rsidRDefault="00FB1853" w:rsidP="00FB1853"/>
    <w:tbl>
      <w:tblPr>
        <w:tblStyle w:val="TableGrid"/>
        <w:tblW w:w="0" w:type="auto"/>
        <w:tblLook w:val="04A0"/>
      </w:tblPr>
      <w:tblGrid>
        <w:gridCol w:w="7805"/>
        <w:gridCol w:w="7805"/>
      </w:tblGrid>
      <w:tr w:rsidR="00561285" w:rsidTr="00561285">
        <w:tc>
          <w:tcPr>
            <w:tcW w:w="7805" w:type="dxa"/>
          </w:tcPr>
          <w:p w:rsidR="00561285" w:rsidRPr="00561285" w:rsidRDefault="00561285" w:rsidP="00AA2878">
            <w:pPr>
              <w:rPr>
                <w:b/>
                <w:bCs/>
                <w:sz w:val="22"/>
                <w:szCs w:val="22"/>
              </w:rPr>
            </w:pPr>
            <w:r w:rsidRPr="00561285">
              <w:rPr>
                <w:b/>
                <w:bCs/>
                <w:sz w:val="22"/>
                <w:szCs w:val="22"/>
              </w:rPr>
              <w:t>Key audit matter</w:t>
            </w:r>
          </w:p>
        </w:tc>
        <w:tc>
          <w:tcPr>
            <w:tcW w:w="7805" w:type="dxa"/>
            <w:vAlign w:val="center"/>
          </w:tcPr>
          <w:p w:rsidR="00561285" w:rsidRPr="00561285" w:rsidRDefault="009635A4" w:rsidP="00091166">
            <w:pPr>
              <w:jc w:val="left"/>
              <w:rPr>
                <w:b/>
                <w:bCs/>
                <w:sz w:val="22"/>
                <w:szCs w:val="22"/>
              </w:rPr>
            </w:pPr>
            <w:r w:rsidRPr="009635A4">
              <w:rPr>
                <w:b/>
                <w:bCs/>
                <w:sz w:val="22"/>
                <w:szCs w:val="22"/>
              </w:rPr>
              <w:t>How my audit addressed the key audit matter</w:t>
            </w:r>
            <w:r w:rsidR="00561285" w:rsidRPr="00561285">
              <w:rPr>
                <w:b/>
                <w:bCs/>
                <w:sz w:val="22"/>
                <w:szCs w:val="22"/>
              </w:rPr>
              <w:t xml:space="preserve"> </w:t>
            </w:r>
          </w:p>
        </w:tc>
      </w:tr>
      <w:tr w:rsidR="009635A4" w:rsidTr="00AA2878">
        <w:tc>
          <w:tcPr>
            <w:tcW w:w="7805" w:type="dxa"/>
          </w:tcPr>
          <w:p w:rsidR="003D73B3" w:rsidRPr="003D73B3" w:rsidRDefault="003D73B3" w:rsidP="00091166">
            <w:pPr>
              <w:rPr>
                <w:b/>
                <w:bCs/>
                <w:sz w:val="22"/>
                <w:szCs w:val="22"/>
              </w:rPr>
            </w:pPr>
            <w:r w:rsidRPr="003D73B3">
              <w:rPr>
                <w:b/>
                <w:bCs/>
                <w:sz w:val="22"/>
                <w:szCs w:val="22"/>
              </w:rPr>
              <w:t>Impairment allowance for loans and receivables</w:t>
            </w:r>
          </w:p>
          <w:p w:rsidR="003D73B3" w:rsidRDefault="003D73B3" w:rsidP="00091166">
            <w:pPr>
              <w:rPr>
                <w:sz w:val="22"/>
                <w:szCs w:val="22"/>
              </w:rPr>
            </w:pPr>
          </w:p>
          <w:p w:rsidR="009635A4" w:rsidRPr="00091166" w:rsidRDefault="009635A4" w:rsidP="00091166">
            <w:pPr>
              <w:rPr>
                <w:sz w:val="22"/>
                <w:szCs w:val="22"/>
              </w:rPr>
            </w:pPr>
            <w:r w:rsidRPr="00091166">
              <w:rPr>
                <w:sz w:val="22"/>
                <w:szCs w:val="22"/>
              </w:rPr>
              <w:t xml:space="preserve">My audit considered impairment allowance for loans and receivables as a key audit matter. The materiality of the reported amounts for loans and receivables together with impairment allowance thereof, the subjectivity associated with management’s impairment estimation, involvement of complex manual calculations and increase in management overlays due to probable impacts of COVID-19 outbreak on the economy, underpinned my basis for considering it as a Key Audit Matter. </w:t>
            </w:r>
          </w:p>
          <w:p w:rsidR="009635A4" w:rsidRPr="00091166" w:rsidRDefault="009635A4" w:rsidP="00091166">
            <w:pPr>
              <w:rPr>
                <w:sz w:val="22"/>
                <w:szCs w:val="22"/>
              </w:rPr>
            </w:pPr>
          </w:p>
          <w:p w:rsidR="009635A4" w:rsidRPr="00091166" w:rsidRDefault="009635A4" w:rsidP="00091166">
            <w:pPr>
              <w:rPr>
                <w:sz w:val="22"/>
                <w:szCs w:val="22"/>
              </w:rPr>
            </w:pPr>
            <w:r w:rsidRPr="00091166">
              <w:rPr>
                <w:sz w:val="22"/>
                <w:szCs w:val="22"/>
              </w:rPr>
              <w:t>As at 31 March 2020, 83% of its total assets of the Group consisted of loans and receivables amounting to Rs. 154,135 million (Note 25), net of impairment allowance of Rs. 9,170 million (Note 25).</w:t>
            </w:r>
          </w:p>
          <w:p w:rsidR="009635A4" w:rsidRPr="00091166" w:rsidRDefault="009635A4" w:rsidP="00091166">
            <w:pPr>
              <w:rPr>
                <w:sz w:val="22"/>
                <w:szCs w:val="22"/>
              </w:rPr>
            </w:pPr>
          </w:p>
          <w:p w:rsidR="009635A4" w:rsidRPr="00EC0950" w:rsidRDefault="009635A4" w:rsidP="00091166">
            <w:pPr>
              <w:rPr>
                <w:sz w:val="22"/>
                <w:szCs w:val="22"/>
              </w:rPr>
            </w:pPr>
            <w:r w:rsidRPr="00091166">
              <w:rPr>
                <w:sz w:val="22"/>
                <w:szCs w:val="22"/>
              </w:rPr>
              <w:t>The Note 25.7 of the Financial Statements describes the basis of impairment allowance and assumptions used by the Management in its calculation.</w:t>
            </w:r>
          </w:p>
        </w:tc>
        <w:tc>
          <w:tcPr>
            <w:tcW w:w="7805" w:type="dxa"/>
            <w:vMerge w:val="restart"/>
          </w:tcPr>
          <w:p w:rsidR="009635A4" w:rsidRDefault="009635A4" w:rsidP="009635A4">
            <w:pPr>
              <w:pStyle w:val="ListParagraph"/>
              <w:ind w:left="25"/>
              <w:rPr>
                <w:sz w:val="22"/>
                <w:szCs w:val="22"/>
              </w:rPr>
            </w:pPr>
            <w:r w:rsidRPr="009635A4">
              <w:rPr>
                <w:sz w:val="22"/>
                <w:szCs w:val="22"/>
              </w:rPr>
              <w:t xml:space="preserve">To assess the reasonableness of the impairment allowance, my audit procedures (among others) included the following:  </w:t>
            </w:r>
          </w:p>
          <w:p w:rsidR="009635A4" w:rsidRDefault="009635A4" w:rsidP="009635A4">
            <w:pPr>
              <w:pStyle w:val="ListParagraph"/>
              <w:ind w:left="25"/>
              <w:rPr>
                <w:sz w:val="22"/>
                <w:szCs w:val="22"/>
              </w:rPr>
            </w:pPr>
          </w:p>
          <w:p w:rsidR="009635A4" w:rsidRPr="009635A4" w:rsidRDefault="009635A4" w:rsidP="009635A4">
            <w:pPr>
              <w:pStyle w:val="ListParagraph"/>
              <w:numPr>
                <w:ilvl w:val="0"/>
                <w:numId w:val="9"/>
              </w:numPr>
              <w:rPr>
                <w:sz w:val="22"/>
                <w:szCs w:val="22"/>
              </w:rPr>
            </w:pPr>
            <w:r w:rsidRPr="009635A4">
              <w:rPr>
                <w:sz w:val="22"/>
                <w:szCs w:val="22"/>
              </w:rPr>
              <w:t xml:space="preserve">I evaluated design effectiveness of controls over estimation of impairment of loans and receivables, which included assessing the level of oversight, review and approval of significant </w:t>
            </w:r>
            <w:r w:rsidR="00FB5056" w:rsidRPr="009635A4">
              <w:rPr>
                <w:sz w:val="22"/>
                <w:szCs w:val="22"/>
              </w:rPr>
              <w:t>judgments</w:t>
            </w:r>
            <w:r w:rsidRPr="009635A4">
              <w:rPr>
                <w:sz w:val="22"/>
                <w:szCs w:val="22"/>
              </w:rPr>
              <w:t>, estimates and assumptions in relation to the impairment by the Board Audit Committee and management.</w:t>
            </w:r>
          </w:p>
          <w:p w:rsidR="009635A4" w:rsidRPr="009635A4" w:rsidRDefault="009635A4" w:rsidP="009635A4">
            <w:pPr>
              <w:pStyle w:val="ListParagraph"/>
              <w:ind w:left="25"/>
              <w:rPr>
                <w:sz w:val="22"/>
                <w:szCs w:val="22"/>
              </w:rPr>
            </w:pPr>
          </w:p>
          <w:p w:rsidR="009635A4" w:rsidRPr="009635A4" w:rsidRDefault="009635A4" w:rsidP="009635A4">
            <w:pPr>
              <w:pStyle w:val="ListParagraph"/>
              <w:numPr>
                <w:ilvl w:val="0"/>
                <w:numId w:val="9"/>
              </w:numPr>
              <w:rPr>
                <w:sz w:val="22"/>
                <w:szCs w:val="22"/>
              </w:rPr>
            </w:pPr>
            <w:r w:rsidRPr="009635A4">
              <w:rPr>
                <w:sz w:val="22"/>
                <w:szCs w:val="22"/>
              </w:rPr>
              <w:t>Test-checked the underlying calculations and data.</w:t>
            </w:r>
          </w:p>
          <w:p w:rsidR="009635A4" w:rsidRPr="009635A4" w:rsidRDefault="009635A4" w:rsidP="009635A4">
            <w:pPr>
              <w:pStyle w:val="ListParagraph"/>
              <w:ind w:left="25"/>
              <w:rPr>
                <w:sz w:val="22"/>
                <w:szCs w:val="22"/>
              </w:rPr>
            </w:pPr>
          </w:p>
          <w:p w:rsidR="009635A4" w:rsidRPr="009635A4" w:rsidRDefault="009635A4" w:rsidP="009635A4">
            <w:pPr>
              <w:pStyle w:val="ListParagraph"/>
              <w:numPr>
                <w:ilvl w:val="0"/>
                <w:numId w:val="9"/>
              </w:numPr>
              <w:rPr>
                <w:sz w:val="22"/>
                <w:szCs w:val="22"/>
              </w:rPr>
            </w:pPr>
            <w:r w:rsidRPr="009635A4">
              <w:rPr>
                <w:sz w:val="22"/>
                <w:szCs w:val="22"/>
              </w:rPr>
              <w:t>In addition to the above, following key procedures were also performed:</w:t>
            </w:r>
          </w:p>
          <w:p w:rsidR="009635A4" w:rsidRPr="009635A4" w:rsidRDefault="009635A4" w:rsidP="009635A4">
            <w:pPr>
              <w:pStyle w:val="ListParagraph"/>
              <w:ind w:left="25"/>
              <w:rPr>
                <w:sz w:val="22"/>
                <w:szCs w:val="22"/>
              </w:rPr>
            </w:pPr>
          </w:p>
          <w:p w:rsidR="009635A4" w:rsidRPr="009635A4" w:rsidRDefault="009635A4" w:rsidP="009635A4">
            <w:pPr>
              <w:pStyle w:val="ListParagraph"/>
              <w:ind w:left="25"/>
              <w:rPr>
                <w:sz w:val="22"/>
                <w:szCs w:val="22"/>
              </w:rPr>
            </w:pPr>
            <w:r w:rsidRPr="009635A4">
              <w:rPr>
                <w:sz w:val="22"/>
                <w:szCs w:val="22"/>
              </w:rPr>
              <w:t>For a sample of loans and receivables individually assessed for impairment:</w:t>
            </w:r>
          </w:p>
          <w:p w:rsidR="009635A4" w:rsidRPr="009635A4" w:rsidRDefault="009635A4" w:rsidP="009635A4">
            <w:pPr>
              <w:pStyle w:val="ListParagraph"/>
              <w:ind w:left="25"/>
              <w:rPr>
                <w:sz w:val="22"/>
                <w:szCs w:val="22"/>
              </w:rPr>
            </w:pPr>
          </w:p>
          <w:p w:rsidR="009635A4" w:rsidRPr="00A041C4" w:rsidRDefault="009635A4" w:rsidP="00A041C4">
            <w:pPr>
              <w:pStyle w:val="ListParagraph"/>
              <w:numPr>
                <w:ilvl w:val="0"/>
                <w:numId w:val="16"/>
              </w:numPr>
              <w:rPr>
                <w:sz w:val="22"/>
                <w:szCs w:val="22"/>
              </w:rPr>
            </w:pPr>
            <w:r w:rsidRPr="00A041C4">
              <w:rPr>
                <w:sz w:val="22"/>
                <w:szCs w:val="22"/>
              </w:rPr>
              <w:t>I assessed the main criteria used by the Management for determining whether an impairment event had occurred;</w:t>
            </w:r>
          </w:p>
          <w:p w:rsidR="009635A4" w:rsidRPr="009635A4" w:rsidRDefault="009635A4" w:rsidP="009635A4">
            <w:pPr>
              <w:pStyle w:val="ListParagraph"/>
              <w:ind w:left="25"/>
              <w:rPr>
                <w:sz w:val="22"/>
                <w:szCs w:val="22"/>
              </w:rPr>
            </w:pPr>
          </w:p>
          <w:p w:rsidR="009635A4" w:rsidRPr="00A041C4" w:rsidRDefault="009635A4" w:rsidP="00A041C4">
            <w:pPr>
              <w:pStyle w:val="ListParagraph"/>
              <w:numPr>
                <w:ilvl w:val="0"/>
                <w:numId w:val="16"/>
              </w:numPr>
              <w:rPr>
                <w:sz w:val="22"/>
                <w:szCs w:val="22"/>
              </w:rPr>
            </w:pPr>
            <w:r w:rsidRPr="00A041C4">
              <w:rPr>
                <w:sz w:val="22"/>
                <w:szCs w:val="22"/>
              </w:rPr>
              <w:t>Where impairment indicators existed, I assessed the reasonableness of management’s estimated future recoveries including the expected future cash flows considering Government relief measures, discount rates and the valuation of collateral held, on a sample basis.</w:t>
            </w:r>
          </w:p>
          <w:p w:rsidR="009635A4" w:rsidRDefault="009635A4" w:rsidP="009635A4">
            <w:pPr>
              <w:pStyle w:val="ListParagraph"/>
              <w:ind w:left="25"/>
              <w:rPr>
                <w:sz w:val="22"/>
                <w:szCs w:val="22"/>
              </w:rPr>
            </w:pPr>
          </w:p>
          <w:p w:rsidR="009635A4" w:rsidRPr="009635A4" w:rsidRDefault="009635A4" w:rsidP="009635A4">
            <w:pPr>
              <w:pStyle w:val="ListParagraph"/>
              <w:ind w:left="25"/>
              <w:rPr>
                <w:sz w:val="22"/>
                <w:szCs w:val="22"/>
              </w:rPr>
            </w:pPr>
            <w:r w:rsidRPr="009635A4">
              <w:rPr>
                <w:sz w:val="22"/>
                <w:szCs w:val="22"/>
              </w:rPr>
              <w:t xml:space="preserve">For loans and receivables collectively assessed for impairment: </w:t>
            </w:r>
          </w:p>
          <w:p w:rsidR="009635A4" w:rsidRPr="009635A4" w:rsidRDefault="009635A4" w:rsidP="009635A4">
            <w:pPr>
              <w:pStyle w:val="ListParagraph"/>
              <w:ind w:left="25"/>
              <w:rPr>
                <w:sz w:val="22"/>
                <w:szCs w:val="22"/>
              </w:rPr>
            </w:pPr>
          </w:p>
          <w:p w:rsidR="009635A4" w:rsidRPr="00A041C4" w:rsidRDefault="009635A4" w:rsidP="00A041C4">
            <w:pPr>
              <w:pStyle w:val="ListParagraph"/>
              <w:numPr>
                <w:ilvl w:val="0"/>
                <w:numId w:val="17"/>
              </w:numPr>
              <w:rPr>
                <w:sz w:val="22"/>
                <w:szCs w:val="22"/>
              </w:rPr>
            </w:pPr>
            <w:r w:rsidRPr="00A041C4">
              <w:rPr>
                <w:sz w:val="22"/>
                <w:szCs w:val="22"/>
              </w:rPr>
              <w:t>I checked the completeness and accuracy of the underlying information and calculations thereon by agreeing details to the relevant source documents, information in IT systems and re-performing the calculations.</w:t>
            </w:r>
          </w:p>
          <w:p w:rsidR="009635A4" w:rsidRPr="009635A4" w:rsidRDefault="009635A4" w:rsidP="009635A4">
            <w:pPr>
              <w:pStyle w:val="ListParagraph"/>
              <w:ind w:left="25"/>
              <w:rPr>
                <w:sz w:val="22"/>
                <w:szCs w:val="22"/>
              </w:rPr>
            </w:pPr>
          </w:p>
          <w:p w:rsidR="009635A4" w:rsidRPr="00A041C4" w:rsidRDefault="009635A4" w:rsidP="00A041C4">
            <w:pPr>
              <w:pStyle w:val="ListParagraph"/>
              <w:numPr>
                <w:ilvl w:val="0"/>
                <w:numId w:val="17"/>
              </w:numPr>
              <w:rPr>
                <w:sz w:val="22"/>
                <w:szCs w:val="22"/>
              </w:rPr>
            </w:pPr>
            <w:r w:rsidRPr="00A041C4">
              <w:rPr>
                <w:sz w:val="22"/>
                <w:szCs w:val="22"/>
              </w:rPr>
              <w:t xml:space="preserve">I considered the reasonableness of macroeconomic and other factors used by management in their </w:t>
            </w:r>
            <w:r w:rsidR="00FB5056" w:rsidRPr="00A041C4">
              <w:rPr>
                <w:sz w:val="22"/>
                <w:szCs w:val="22"/>
              </w:rPr>
              <w:t>judgmental</w:t>
            </w:r>
            <w:r w:rsidRPr="00A041C4">
              <w:rPr>
                <w:sz w:val="22"/>
                <w:szCs w:val="22"/>
              </w:rPr>
              <w:t xml:space="preserve"> overlays, by comparing them with publicly available data and information sources.</w:t>
            </w:r>
          </w:p>
          <w:p w:rsidR="009635A4" w:rsidRPr="009635A4" w:rsidRDefault="009635A4" w:rsidP="009635A4">
            <w:pPr>
              <w:pStyle w:val="ListParagraph"/>
              <w:ind w:left="25"/>
              <w:rPr>
                <w:sz w:val="22"/>
                <w:szCs w:val="22"/>
              </w:rPr>
            </w:pPr>
          </w:p>
          <w:p w:rsidR="009635A4" w:rsidRPr="00A041C4" w:rsidRDefault="009635A4" w:rsidP="00A041C4">
            <w:pPr>
              <w:pStyle w:val="ListParagraph"/>
              <w:numPr>
                <w:ilvl w:val="0"/>
                <w:numId w:val="17"/>
              </w:numPr>
              <w:rPr>
                <w:sz w:val="22"/>
                <w:szCs w:val="22"/>
              </w:rPr>
            </w:pPr>
            <w:r w:rsidRPr="00A041C4">
              <w:rPr>
                <w:sz w:val="22"/>
                <w:szCs w:val="22"/>
              </w:rPr>
              <w:t>I also assessed the management application of temporary practical expedients issued by CA Sri Lanka in relation to ECL computation.</w:t>
            </w:r>
          </w:p>
          <w:p w:rsidR="009635A4" w:rsidRPr="009635A4" w:rsidRDefault="009635A4" w:rsidP="009635A4">
            <w:pPr>
              <w:pStyle w:val="ListParagraph"/>
              <w:ind w:left="25"/>
              <w:rPr>
                <w:sz w:val="22"/>
                <w:szCs w:val="22"/>
              </w:rPr>
            </w:pPr>
          </w:p>
          <w:p w:rsidR="009635A4" w:rsidRPr="009635A4" w:rsidRDefault="009635A4" w:rsidP="00FB5056">
            <w:pPr>
              <w:pStyle w:val="ListParagraph"/>
              <w:numPr>
                <w:ilvl w:val="0"/>
                <w:numId w:val="11"/>
              </w:numPr>
              <w:rPr>
                <w:sz w:val="22"/>
                <w:szCs w:val="22"/>
              </w:rPr>
            </w:pPr>
            <w:r w:rsidRPr="009635A4">
              <w:rPr>
                <w:sz w:val="22"/>
                <w:szCs w:val="22"/>
              </w:rPr>
              <w:t>I assessed the adequacy of the related Financial Statement disclosures as set out in Notes 11, 25 and 59.2</w:t>
            </w:r>
          </w:p>
          <w:p w:rsidR="009635A4" w:rsidRPr="009635A4" w:rsidRDefault="009635A4" w:rsidP="009635A4">
            <w:pPr>
              <w:pStyle w:val="ListParagraph"/>
              <w:ind w:left="25"/>
              <w:rPr>
                <w:sz w:val="22"/>
                <w:szCs w:val="22"/>
              </w:rPr>
            </w:pPr>
          </w:p>
          <w:p w:rsidR="009635A4" w:rsidRPr="009635A4" w:rsidRDefault="009635A4" w:rsidP="009635A4">
            <w:pPr>
              <w:pStyle w:val="ListParagraph"/>
              <w:ind w:left="25"/>
              <w:rPr>
                <w:sz w:val="22"/>
                <w:szCs w:val="22"/>
              </w:rPr>
            </w:pPr>
            <w:r w:rsidRPr="009635A4">
              <w:rPr>
                <w:sz w:val="22"/>
                <w:szCs w:val="22"/>
              </w:rPr>
              <w:t>My procedures included among other included the following:</w:t>
            </w:r>
          </w:p>
          <w:p w:rsidR="009635A4" w:rsidRPr="009635A4" w:rsidRDefault="009635A4" w:rsidP="009635A4">
            <w:pPr>
              <w:pStyle w:val="ListParagraph"/>
              <w:ind w:left="25"/>
              <w:rPr>
                <w:sz w:val="22"/>
                <w:szCs w:val="22"/>
              </w:rPr>
            </w:pPr>
          </w:p>
          <w:p w:rsidR="009635A4" w:rsidRPr="009635A4" w:rsidRDefault="009635A4" w:rsidP="00FB5056">
            <w:pPr>
              <w:pStyle w:val="ListParagraph"/>
              <w:numPr>
                <w:ilvl w:val="0"/>
                <w:numId w:val="12"/>
              </w:numPr>
              <w:rPr>
                <w:sz w:val="22"/>
                <w:szCs w:val="22"/>
              </w:rPr>
            </w:pPr>
            <w:r w:rsidRPr="009635A4">
              <w:rPr>
                <w:sz w:val="22"/>
                <w:szCs w:val="22"/>
              </w:rPr>
              <w:t>I gained an understanding of management’s assessment of the possible impacts of the COVID-19 outbreak on the nature and extent of risks arising from financial instruments and developing related disclosures of the Group.</w:t>
            </w:r>
          </w:p>
          <w:p w:rsidR="009635A4" w:rsidRPr="009635A4" w:rsidRDefault="009635A4" w:rsidP="009635A4">
            <w:pPr>
              <w:pStyle w:val="ListParagraph"/>
              <w:ind w:left="25"/>
              <w:rPr>
                <w:sz w:val="22"/>
                <w:szCs w:val="22"/>
              </w:rPr>
            </w:pPr>
          </w:p>
          <w:p w:rsidR="009635A4" w:rsidRPr="009635A4" w:rsidRDefault="009635A4" w:rsidP="00FB5056">
            <w:pPr>
              <w:pStyle w:val="ListParagraph"/>
              <w:numPr>
                <w:ilvl w:val="0"/>
                <w:numId w:val="12"/>
              </w:numPr>
              <w:rPr>
                <w:sz w:val="22"/>
                <w:szCs w:val="22"/>
              </w:rPr>
            </w:pPr>
            <w:r w:rsidRPr="009635A4">
              <w:rPr>
                <w:sz w:val="22"/>
                <w:szCs w:val="22"/>
              </w:rPr>
              <w:t>I also assessed the adequacy of qualitative disclosures made, in note(s) 59.1, 59.2 and 59.3 to the Financial Statements focusing on credit risk and liquidity risk in the light of the objective of SLFRS 7.</w:t>
            </w:r>
          </w:p>
          <w:p w:rsidR="009635A4" w:rsidRPr="009635A4" w:rsidRDefault="009635A4" w:rsidP="009635A4">
            <w:pPr>
              <w:pStyle w:val="ListParagraph"/>
              <w:ind w:left="25"/>
              <w:rPr>
                <w:sz w:val="22"/>
                <w:szCs w:val="22"/>
              </w:rPr>
            </w:pPr>
          </w:p>
          <w:p w:rsidR="009635A4" w:rsidRPr="00EC0950" w:rsidRDefault="009635A4" w:rsidP="00FB5056">
            <w:pPr>
              <w:pStyle w:val="ListParagraph"/>
              <w:numPr>
                <w:ilvl w:val="0"/>
                <w:numId w:val="12"/>
              </w:numPr>
              <w:rPr>
                <w:sz w:val="22"/>
                <w:szCs w:val="22"/>
              </w:rPr>
            </w:pPr>
            <w:r w:rsidRPr="009635A4">
              <w:rPr>
                <w:sz w:val="22"/>
                <w:szCs w:val="22"/>
              </w:rPr>
              <w:t xml:space="preserve">In relation to significant </w:t>
            </w:r>
            <w:r w:rsidR="00FB5056" w:rsidRPr="009635A4">
              <w:rPr>
                <w:sz w:val="22"/>
                <w:szCs w:val="22"/>
              </w:rPr>
              <w:t>judgments</w:t>
            </w:r>
            <w:r w:rsidRPr="009635A4">
              <w:rPr>
                <w:sz w:val="22"/>
                <w:szCs w:val="22"/>
              </w:rPr>
              <w:t xml:space="preserve"> and estimates underpinning such disclosures, I assessed the reasonableness of those key assumptions considering related market information and internal decisions made by the Group.</w:t>
            </w:r>
          </w:p>
        </w:tc>
      </w:tr>
      <w:tr w:rsidR="009635A4" w:rsidTr="00AA2878">
        <w:tc>
          <w:tcPr>
            <w:tcW w:w="7805" w:type="dxa"/>
          </w:tcPr>
          <w:p w:rsidR="009635A4" w:rsidRPr="00091166" w:rsidRDefault="009635A4" w:rsidP="00091166">
            <w:pPr>
              <w:rPr>
                <w:b/>
                <w:bCs/>
                <w:sz w:val="22"/>
                <w:szCs w:val="22"/>
              </w:rPr>
            </w:pPr>
            <w:r w:rsidRPr="00091166">
              <w:rPr>
                <w:b/>
                <w:bCs/>
                <w:sz w:val="22"/>
                <w:szCs w:val="22"/>
              </w:rPr>
              <w:t>Management’s assessment of possible effects of the COVID-19 outbreak on the nature and extent of risks arising from financial instruments and related disclosures</w:t>
            </w:r>
          </w:p>
          <w:p w:rsidR="009635A4" w:rsidRPr="00091166" w:rsidRDefault="009635A4" w:rsidP="00091166">
            <w:pPr>
              <w:rPr>
                <w:sz w:val="22"/>
                <w:szCs w:val="22"/>
              </w:rPr>
            </w:pPr>
          </w:p>
          <w:p w:rsidR="009635A4" w:rsidRPr="00091166" w:rsidRDefault="009635A4" w:rsidP="00091166">
            <w:pPr>
              <w:rPr>
                <w:sz w:val="22"/>
                <w:szCs w:val="22"/>
              </w:rPr>
            </w:pPr>
            <w:r w:rsidRPr="00091166">
              <w:rPr>
                <w:sz w:val="22"/>
                <w:szCs w:val="22"/>
              </w:rPr>
              <w:t>Management has assessed the possible impacts of the COVID-19 outbreak on, nature and extent of risks arising from financial instruments and related Financial Statement disclosures are made considering the best available information up to the date of assessment, as more fully described in Section 59.1 of the Financial Statements.</w:t>
            </w:r>
          </w:p>
          <w:p w:rsidR="009635A4" w:rsidRPr="00091166" w:rsidRDefault="009635A4" w:rsidP="00091166">
            <w:pPr>
              <w:rPr>
                <w:sz w:val="22"/>
                <w:szCs w:val="22"/>
              </w:rPr>
            </w:pPr>
          </w:p>
          <w:p w:rsidR="009635A4" w:rsidRPr="00091166" w:rsidRDefault="009635A4" w:rsidP="00091166">
            <w:pPr>
              <w:rPr>
                <w:sz w:val="22"/>
                <w:szCs w:val="22"/>
              </w:rPr>
            </w:pPr>
            <w:r w:rsidRPr="00091166">
              <w:rPr>
                <w:sz w:val="22"/>
                <w:szCs w:val="22"/>
              </w:rPr>
              <w:t xml:space="preserve">I considered such management’s assessment and related disclosures as a key audit matter, considering nature of business and use of significant management </w:t>
            </w:r>
            <w:r w:rsidR="00FB5056" w:rsidRPr="00091166">
              <w:rPr>
                <w:sz w:val="22"/>
                <w:szCs w:val="22"/>
              </w:rPr>
              <w:t>judgments</w:t>
            </w:r>
            <w:r w:rsidRPr="00091166">
              <w:rPr>
                <w:sz w:val="22"/>
                <w:szCs w:val="22"/>
              </w:rPr>
              <w:t xml:space="preserve"> and estimates considering future events and circumstances.</w:t>
            </w:r>
          </w:p>
        </w:tc>
        <w:tc>
          <w:tcPr>
            <w:tcW w:w="7805" w:type="dxa"/>
            <w:vMerge/>
          </w:tcPr>
          <w:p w:rsidR="009635A4" w:rsidRPr="00EC0950" w:rsidRDefault="009635A4" w:rsidP="00470AD3">
            <w:pPr>
              <w:pStyle w:val="ListParagraph"/>
              <w:ind w:left="205"/>
              <w:rPr>
                <w:sz w:val="22"/>
                <w:szCs w:val="22"/>
              </w:rPr>
            </w:pPr>
          </w:p>
        </w:tc>
      </w:tr>
    </w:tbl>
    <w:p w:rsidR="00FB1853" w:rsidRDefault="00FB1853" w:rsidP="00FB1853"/>
    <w:p w:rsidR="00C82ACC" w:rsidRPr="009515DC" w:rsidRDefault="00C82ACC" w:rsidP="00C82ACC">
      <w:pPr>
        <w:rPr>
          <w:sz w:val="12"/>
          <w:szCs w:val="12"/>
        </w:rPr>
      </w:pPr>
    </w:p>
    <w:p w:rsidR="00AC7950" w:rsidRPr="00AC7950" w:rsidRDefault="00FB5056" w:rsidP="00FB5056">
      <w:pPr>
        <w:rPr>
          <w:b/>
          <w:bCs/>
        </w:rPr>
      </w:pPr>
      <w:r w:rsidRPr="00AC7950">
        <w:rPr>
          <w:b/>
          <w:bCs/>
        </w:rPr>
        <w:t xml:space="preserve">1.4 Other matter </w:t>
      </w:r>
    </w:p>
    <w:p w:rsidR="00AC7950" w:rsidRDefault="00AC7950" w:rsidP="00FB5056"/>
    <w:p w:rsidR="00FB5056" w:rsidRDefault="00FB5056" w:rsidP="00FB5056">
      <w:r>
        <w:t>The Financial Statements of the Company for the year ended 31 March 2019 were audited by another auditor who expressed an unmodified opinion on those statements on 13 June 2019.</w:t>
      </w:r>
    </w:p>
    <w:p w:rsidR="00FB5056" w:rsidRDefault="00FB5056" w:rsidP="00FB5056"/>
    <w:p w:rsidR="00FB5056" w:rsidRPr="00AC7950" w:rsidRDefault="00FB5056" w:rsidP="00FB5056">
      <w:pPr>
        <w:rPr>
          <w:b/>
          <w:bCs/>
        </w:rPr>
      </w:pPr>
      <w:r w:rsidRPr="00AC7950">
        <w:rPr>
          <w:b/>
          <w:bCs/>
        </w:rPr>
        <w:t>1.5 Other information included in the Group’s 2020 Annual Report</w:t>
      </w:r>
    </w:p>
    <w:p w:rsidR="00FB5056" w:rsidRDefault="00FB5056" w:rsidP="00FB5056"/>
    <w:p w:rsidR="00FB5056" w:rsidRDefault="00FB5056" w:rsidP="00FB5056">
      <w:r>
        <w:t>Other information consists of the information included in the Group’s 2020 Annual Report, other than the Financial Statements and my Auditor’s Report thereon. Management is responsible for the other information. The Group’s 2020 Annual Report is expected to be made available to us after the date of this Auditor’s Report.</w:t>
      </w:r>
    </w:p>
    <w:p w:rsidR="00FB5056" w:rsidRDefault="00FB5056" w:rsidP="00FB5056"/>
    <w:p w:rsidR="00FB5056" w:rsidRDefault="00FB5056" w:rsidP="00FB5056">
      <w:r>
        <w:t>My opinion on the Financial Statements does not cover the other information and I will not express any form of assurance conclusion thereon.</w:t>
      </w:r>
    </w:p>
    <w:p w:rsidR="00FB5056" w:rsidRDefault="00FB5056" w:rsidP="00FB5056"/>
    <w:p w:rsidR="00FB5056" w:rsidRDefault="00FB5056" w:rsidP="00FB5056">
      <w:r>
        <w:lastRenderedPageBreak/>
        <w:t>In connection with my audit of the Financial Statements, my responsibility is to read the other information identified above when it becomes available and, in doing so, consider whether the other information is materially inconsistent with the Financial Statements or my knowledge obtained in the audit or otherwise appears to be materially misstated.</w:t>
      </w:r>
    </w:p>
    <w:p w:rsidR="00FB5056" w:rsidRDefault="00FB5056" w:rsidP="00FB5056"/>
    <w:p w:rsidR="00FB5056" w:rsidRPr="00AC7950" w:rsidRDefault="00FB5056" w:rsidP="00FB5056">
      <w:pPr>
        <w:rPr>
          <w:b/>
          <w:bCs/>
        </w:rPr>
      </w:pPr>
      <w:r w:rsidRPr="00AC7950">
        <w:rPr>
          <w:b/>
          <w:bCs/>
        </w:rPr>
        <w:t>1.6 Responsibilities of management and those charged with governance for the Financial Statements</w:t>
      </w:r>
    </w:p>
    <w:p w:rsidR="00FB5056" w:rsidRDefault="00FB5056" w:rsidP="00FB5056"/>
    <w:p w:rsidR="00FB5056" w:rsidRDefault="00FB5056" w:rsidP="00FB5056">
      <w:r>
        <w:t>Management is responsible for the preparation of Financial Statements that give a true and fair view in accordance with Sri Lanka Accounting Standards, and for such internal control as management determine is necessary to enable the preparation of Financial Statements that are free from material misstatement, whether due to fraud or error.</w:t>
      </w:r>
    </w:p>
    <w:p w:rsidR="00FB5056" w:rsidRDefault="00FB5056" w:rsidP="00FB5056"/>
    <w:p w:rsidR="00FB5056" w:rsidRDefault="00FB5056" w:rsidP="00FB5056">
      <w:r>
        <w:t>In preparing the Financial Statements, management is responsible for assessing the Group’s ability to continue as a going concern, disclosing, as applicable, matters related to going concern and using the going concern basis of accounting unless management either intend to liquidate the Group or to cease operations, or has no realistic alternative but to do so.</w:t>
      </w:r>
    </w:p>
    <w:p w:rsidR="00FB5056" w:rsidRDefault="00FB5056" w:rsidP="00FB5056"/>
    <w:p w:rsidR="00FB5056" w:rsidRDefault="00FB5056" w:rsidP="00FB5056">
      <w:r>
        <w:t>Those charged with governance are responsible for overseeing the Company’s and the Group’s financial reporting process.</w:t>
      </w:r>
    </w:p>
    <w:p w:rsidR="00FB5056" w:rsidRDefault="00FB5056" w:rsidP="00FB5056"/>
    <w:p w:rsidR="00FB5056" w:rsidRDefault="00FB5056" w:rsidP="00FB5056">
      <w:r>
        <w:t>As per Section 16 (1) of the National Audit Act No. 19 of 2018, the Group is required to maintain proper books and records of all its income, expenditure, assets and liabilities, to enable annual and periodic Financial Statements to be prepared of the Group.</w:t>
      </w:r>
    </w:p>
    <w:p w:rsidR="00FB5056" w:rsidRDefault="00FB5056" w:rsidP="00FB5056"/>
    <w:p w:rsidR="00FB5056" w:rsidRPr="00AC7950" w:rsidRDefault="00FB5056" w:rsidP="00FB5056">
      <w:pPr>
        <w:rPr>
          <w:b/>
          <w:bCs/>
        </w:rPr>
      </w:pPr>
      <w:r w:rsidRPr="00AC7950">
        <w:rPr>
          <w:b/>
          <w:bCs/>
        </w:rPr>
        <w:t>1.7 Auditor’s Responsibilities for the Audit of the Financial Statements</w:t>
      </w:r>
    </w:p>
    <w:p w:rsidR="00FB5056" w:rsidRDefault="00FB5056" w:rsidP="00FB5056"/>
    <w:p w:rsidR="00FB5056" w:rsidRDefault="00FB5056" w:rsidP="00FB5056">
      <w:r>
        <w:t>My objective is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Sri Lanka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FB5056" w:rsidRDefault="00FB5056" w:rsidP="00FB5056"/>
    <w:p w:rsidR="00FB5056" w:rsidRDefault="00FB5056" w:rsidP="00FB5056">
      <w:r>
        <w:t xml:space="preserve">As part of an audit in accordance with Sri Lanka Auditing Standards, I exercise professional </w:t>
      </w:r>
      <w:proofErr w:type="spellStart"/>
      <w:r>
        <w:t>judgement</w:t>
      </w:r>
      <w:proofErr w:type="spellEnd"/>
      <w:r>
        <w:t xml:space="preserve"> and maintain professional skepticism throughout the audit. I also:</w:t>
      </w:r>
    </w:p>
    <w:p w:rsidR="00FB5056" w:rsidRDefault="00FB5056" w:rsidP="00FB5056"/>
    <w:p w:rsidR="00FB5056" w:rsidRDefault="00FB5056" w:rsidP="00AC7950">
      <w:pPr>
        <w:pStyle w:val="ListParagraph"/>
        <w:numPr>
          <w:ilvl w:val="0"/>
          <w:numId w:val="13"/>
        </w:numPr>
      </w:pPr>
      <w: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w:t>
      </w:r>
      <w:r>
        <w:lastRenderedPageBreak/>
        <w:t xml:space="preserve">misrepresentations, or the override of internal control. </w:t>
      </w:r>
      <w:r>
        <w:cr/>
      </w:r>
    </w:p>
    <w:p w:rsidR="00FB5056" w:rsidRDefault="00FB5056" w:rsidP="00FB5056"/>
    <w:p w:rsidR="00FB5056" w:rsidRDefault="00FB5056" w:rsidP="00AC7950">
      <w:pPr>
        <w:pStyle w:val="ListParagraph"/>
        <w:numPr>
          <w:ilvl w:val="0"/>
          <w:numId w:val="13"/>
        </w:numPr>
      </w:pPr>
      <w:r>
        <w:t>Obtain an understanding of internal control relevant to the audit in order to design audit procedures that are appropriate in the circumstances, but not for the purpose of expressing an opinion on the effectiveness of the Group’s internal control.</w:t>
      </w:r>
    </w:p>
    <w:p w:rsidR="00FB5056" w:rsidRDefault="00FB5056" w:rsidP="00FB5056"/>
    <w:p w:rsidR="00FB5056" w:rsidRDefault="00FB5056" w:rsidP="00AC7950">
      <w:pPr>
        <w:pStyle w:val="ListParagraph"/>
        <w:numPr>
          <w:ilvl w:val="0"/>
          <w:numId w:val="13"/>
        </w:numPr>
      </w:pPr>
      <w:r>
        <w:t>Evaluate the appropriateness of accounting policies used and the reasonableness of accounting estimates and related disclosures made by the management.</w:t>
      </w:r>
    </w:p>
    <w:p w:rsidR="00FB5056" w:rsidRDefault="00FB5056" w:rsidP="00FB5056"/>
    <w:p w:rsidR="00FB5056" w:rsidRDefault="00FB5056" w:rsidP="00AC7950">
      <w:pPr>
        <w:pStyle w:val="ListParagraph"/>
        <w:numPr>
          <w:ilvl w:val="0"/>
          <w:numId w:val="13"/>
        </w:numPr>
      </w:pPr>
      <w:r>
        <w:t>Conclude on the appropriateness of the management’s use of the going concern basis of accounting and based on the audit evidence obtained, whether a material uncertainty exists related to events or conditions that may cast significant doubt on the Group’s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events or conditions may cause the Group to cease to continue as a going concern.</w:t>
      </w:r>
    </w:p>
    <w:p w:rsidR="00FB5056" w:rsidRDefault="00FB5056" w:rsidP="00FB5056"/>
    <w:p w:rsidR="00FB5056" w:rsidRDefault="00FB5056" w:rsidP="00AC7950">
      <w:pPr>
        <w:pStyle w:val="ListParagraph"/>
        <w:numPr>
          <w:ilvl w:val="0"/>
          <w:numId w:val="13"/>
        </w:numPr>
      </w:pPr>
      <w:r>
        <w:t>Evaluate the overall presentation, structure and content of the Financial Statements, including the disclosures, and whether the Financial Statements represent the underlying transactions and events in a manner that achieves fair presentation.</w:t>
      </w:r>
    </w:p>
    <w:p w:rsidR="00FB5056" w:rsidRDefault="00FB5056" w:rsidP="00FB5056"/>
    <w:p w:rsidR="00FB5056" w:rsidRDefault="00FB5056" w:rsidP="00FB5056">
      <w:r>
        <w:t>I communicate with those charged with governance regarding, among other matters, significant audit findings, including any significant deficiencies in internal control that I identify during my audit.</w:t>
      </w:r>
    </w:p>
    <w:p w:rsidR="00FB5056" w:rsidRDefault="00FB5056" w:rsidP="00FB5056"/>
    <w:p w:rsidR="00FB5056" w:rsidRPr="00AC7950" w:rsidRDefault="00FB5056" w:rsidP="00FB5056">
      <w:pPr>
        <w:rPr>
          <w:b/>
          <w:bCs/>
        </w:rPr>
      </w:pPr>
      <w:r w:rsidRPr="00AC7950">
        <w:rPr>
          <w:b/>
          <w:bCs/>
        </w:rPr>
        <w:t>2. Report on other legal and regulatory requirements</w:t>
      </w:r>
    </w:p>
    <w:p w:rsidR="00FB5056" w:rsidRDefault="00FB5056" w:rsidP="00FB5056"/>
    <w:p w:rsidR="00FB5056" w:rsidRDefault="00FB5056" w:rsidP="00FB5056">
      <w:r>
        <w:t>National Audit Act, No. 19 of 2018 and Companies Act, No. 07 of 2007 includes specific provisions for following requirements:</w:t>
      </w:r>
    </w:p>
    <w:p w:rsidR="00FB5056" w:rsidRDefault="00FB5056" w:rsidP="00FB5056"/>
    <w:p w:rsidR="00FB5056" w:rsidRDefault="00FB5056" w:rsidP="00AC7950">
      <w:pPr>
        <w:pStyle w:val="ListParagraph"/>
        <w:numPr>
          <w:ilvl w:val="0"/>
          <w:numId w:val="14"/>
        </w:numPr>
      </w:pPr>
      <w:r>
        <w:t>I have obtained all the information and explanation that required for the audit and as far as appears from my examination, proper accounting records have been kept by the Company as per the requirement of Section 163 (2) (d) of the Companies Act, No. 07 of 2007 and Section 12 (a) of National Audit Act, No. 19 of 2018.</w:t>
      </w:r>
    </w:p>
    <w:p w:rsidR="00FB5056" w:rsidRDefault="00FB5056" w:rsidP="00FB5056"/>
    <w:p w:rsidR="00FB5056" w:rsidRDefault="00FB5056" w:rsidP="00AC7950">
      <w:pPr>
        <w:pStyle w:val="ListParagraph"/>
        <w:numPr>
          <w:ilvl w:val="0"/>
          <w:numId w:val="14"/>
        </w:numPr>
      </w:pPr>
      <w:r>
        <w:t>The Financial Statements of the Company comply with the requirement of Section 151 of the Companies Act, No. 07 of 2007.</w:t>
      </w:r>
    </w:p>
    <w:p w:rsidR="00FB5056" w:rsidRDefault="00FB5056" w:rsidP="00FB5056"/>
    <w:p w:rsidR="00FB5056" w:rsidRDefault="00FB5056" w:rsidP="00AC7950">
      <w:pPr>
        <w:pStyle w:val="ListParagraph"/>
        <w:numPr>
          <w:ilvl w:val="0"/>
          <w:numId w:val="14"/>
        </w:numPr>
      </w:pPr>
      <w:r>
        <w:lastRenderedPageBreak/>
        <w:t>The Financial Statements presented is consistent with the preceding year as per the requirement of Section 6 (1) (d) (iii) of the National Audit Act, No. 19 of 2018.</w:t>
      </w:r>
    </w:p>
    <w:p w:rsidR="00FB5056" w:rsidRDefault="00FB5056" w:rsidP="00FB5056"/>
    <w:p w:rsidR="00FB5056" w:rsidRDefault="00FB5056" w:rsidP="00AC7950">
      <w:pPr>
        <w:pStyle w:val="ListParagraph"/>
        <w:numPr>
          <w:ilvl w:val="0"/>
          <w:numId w:val="14"/>
        </w:numPr>
      </w:pPr>
      <w:r>
        <w:t>The Financial Statements presented includes all the recommendations made by me in the previous year as per the requirement of Section 6 (1) (d) (</w:t>
      </w:r>
      <w:proofErr w:type="gramStart"/>
      <w:r>
        <w:t>iv</w:t>
      </w:r>
      <w:proofErr w:type="gramEnd"/>
      <w:r>
        <w:t>) of the National Audit Act, No. 19 of 2018.</w:t>
      </w:r>
    </w:p>
    <w:p w:rsidR="00FB5056" w:rsidRDefault="00FB5056" w:rsidP="00FB5056"/>
    <w:p w:rsidR="00FB5056" w:rsidRDefault="00FB5056" w:rsidP="00FB5056">
      <w:r>
        <w:t>Based on the procedures performed and evidence obtained were limited to matters that are material, nothing has come to my attention:</w:t>
      </w:r>
    </w:p>
    <w:p w:rsidR="00FB5056" w:rsidRDefault="00FB5056" w:rsidP="00FB5056"/>
    <w:p w:rsidR="00AC7950" w:rsidRDefault="00FB5056" w:rsidP="00AC7950">
      <w:pPr>
        <w:pStyle w:val="ListParagraph"/>
        <w:numPr>
          <w:ilvl w:val="0"/>
          <w:numId w:val="15"/>
        </w:numPr>
      </w:pPr>
      <w:r>
        <w:t xml:space="preserve">to state that any member of the governing body of the Company has any direct or indirect interest in any contract entered into by the Company which are out of the normal course of business as per the requirement of Section 12 (d) of the National Audit Act, No. 19 of 2018;  </w:t>
      </w:r>
    </w:p>
    <w:p w:rsidR="00AC7950" w:rsidRDefault="00AC7950" w:rsidP="00AC7950">
      <w:pPr>
        <w:pStyle w:val="ListParagraph"/>
      </w:pPr>
    </w:p>
    <w:p w:rsidR="00AC7950" w:rsidRDefault="00FB5056" w:rsidP="00AC7950">
      <w:pPr>
        <w:pStyle w:val="ListParagraph"/>
        <w:numPr>
          <w:ilvl w:val="0"/>
          <w:numId w:val="15"/>
        </w:numPr>
      </w:pPr>
      <w:r>
        <w:t xml:space="preserve">to state that the Company has not complied with any applicable written law, general and special directions issued by the governing body of the Company as per the requirement of Section 12 (f) of the National Audit Act, No. 19 of 2018;  </w:t>
      </w:r>
    </w:p>
    <w:p w:rsidR="00AC7950" w:rsidRDefault="00AC7950" w:rsidP="00AC7950">
      <w:pPr>
        <w:pStyle w:val="ListParagraph"/>
      </w:pPr>
    </w:p>
    <w:p w:rsidR="00AC7950" w:rsidRDefault="00FB5056" w:rsidP="00AC7950">
      <w:pPr>
        <w:pStyle w:val="ListParagraph"/>
        <w:numPr>
          <w:ilvl w:val="0"/>
          <w:numId w:val="15"/>
        </w:numPr>
      </w:pPr>
      <w:r>
        <w:t xml:space="preserve">to state that the Company has not performed according to its powers, functions and duties as per the requirement of Section 12 (g) of the National Audit Act, No. 19 of 2018; </w:t>
      </w:r>
    </w:p>
    <w:p w:rsidR="00AC7950" w:rsidRDefault="00AC7950" w:rsidP="00AC7950">
      <w:pPr>
        <w:pStyle w:val="ListParagraph"/>
      </w:pPr>
    </w:p>
    <w:p w:rsidR="00FB5056" w:rsidRDefault="00FB5056" w:rsidP="00AC7950">
      <w:pPr>
        <w:pStyle w:val="ListParagraph"/>
        <w:numPr>
          <w:ilvl w:val="0"/>
          <w:numId w:val="15"/>
        </w:numPr>
      </w:pPr>
      <w:r>
        <w:t xml:space="preserve">to state that the resources of the Company had not been procured and </w:t>
      </w:r>
      <w:proofErr w:type="spellStart"/>
      <w:r>
        <w:t>utilised</w:t>
      </w:r>
      <w:proofErr w:type="spellEnd"/>
      <w:r>
        <w:t xml:space="preserve"> economically, efficiently and effectively within the time frames and in compliance with the applicable laws as per the requirement of Section 12 (h) of the National Audit Act, No. 19 of 2018.</w:t>
      </w:r>
    </w:p>
    <w:p w:rsidR="00FB5056" w:rsidRDefault="00FB5056" w:rsidP="00FB5056"/>
    <w:p w:rsidR="00AC7950" w:rsidRDefault="00AC7950" w:rsidP="00FB5056"/>
    <w:p w:rsidR="00FB5056" w:rsidRDefault="00FB5056" w:rsidP="00FB5056">
      <w:r>
        <w:t xml:space="preserve">W P C </w:t>
      </w:r>
      <w:proofErr w:type="spellStart"/>
      <w:r>
        <w:t>Wickramaratne</w:t>
      </w:r>
      <w:proofErr w:type="spellEnd"/>
    </w:p>
    <w:p w:rsidR="00470AD3" w:rsidRDefault="00FB5056" w:rsidP="00FB5056">
      <w:r>
        <w:t>Auditor General</w:t>
      </w:r>
    </w:p>
    <w:p w:rsidR="00CA51AE" w:rsidRDefault="00CA51AE">
      <w:r>
        <w:br w:type="page"/>
      </w:r>
    </w:p>
    <w:tbl>
      <w:tblPr>
        <w:tblW w:w="12868" w:type="dxa"/>
        <w:tblInd w:w="1269" w:type="dxa"/>
        <w:tblCellMar>
          <w:left w:w="0" w:type="dxa"/>
          <w:right w:w="0" w:type="dxa"/>
        </w:tblCellMar>
        <w:tblLook w:val="04A0"/>
      </w:tblPr>
      <w:tblGrid>
        <w:gridCol w:w="4686"/>
        <w:gridCol w:w="36"/>
        <w:gridCol w:w="36"/>
        <w:gridCol w:w="1075"/>
        <w:gridCol w:w="1460"/>
        <w:gridCol w:w="1560"/>
        <w:gridCol w:w="1130"/>
        <w:gridCol w:w="1405"/>
        <w:gridCol w:w="1480"/>
      </w:tblGrid>
      <w:tr w:rsidR="0032208C" w:rsidTr="0032208C">
        <w:trPr>
          <w:trHeight w:val="405"/>
        </w:trPr>
        <w:tc>
          <w:tcPr>
            <w:tcW w:w="7293"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32"/>
                <w:szCs w:val="32"/>
              </w:rPr>
            </w:pPr>
            <w:r>
              <w:rPr>
                <w:color w:val="000000"/>
                <w:sz w:val="32"/>
                <w:szCs w:val="32"/>
              </w:rPr>
              <w:lastRenderedPageBreak/>
              <w:t>STATEMENT OF PROFIT OR LOSS</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1130" w:type="dxa"/>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1405" w:type="dxa"/>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4095"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b/>
                <w:bCs/>
                <w:color w:val="000000"/>
                <w:sz w:val="22"/>
                <w:szCs w:val="22"/>
              </w:rPr>
            </w:pPr>
            <w:r>
              <w:rPr>
                <w:b/>
                <w:bCs/>
                <w:color w:val="000000"/>
                <w:sz w:val="22"/>
                <w:szCs w:val="22"/>
              </w:rPr>
              <w:t xml:space="preserve">Company </w:t>
            </w:r>
          </w:p>
        </w:tc>
        <w:tc>
          <w:tcPr>
            <w:tcW w:w="4015"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b/>
                <w:bCs/>
                <w:color w:val="000000"/>
                <w:sz w:val="22"/>
                <w:szCs w:val="22"/>
              </w:rPr>
            </w:pPr>
            <w:r>
              <w:rPr>
                <w:b/>
                <w:bCs/>
                <w:color w:val="000000"/>
                <w:sz w:val="22"/>
                <w:szCs w:val="22"/>
              </w:rPr>
              <w:t xml:space="preserve">Group </w:t>
            </w:r>
          </w:p>
        </w:tc>
      </w:tr>
      <w:tr w:rsidR="0032208C" w:rsidTr="0032208C">
        <w:trPr>
          <w:trHeight w:val="600"/>
        </w:trPr>
        <w:tc>
          <w:tcPr>
            <w:tcW w:w="0" w:type="auto"/>
            <w:gridSpan w:val="2"/>
            <w:tcBorders>
              <w:top w:val="nil"/>
              <w:left w:val="nil"/>
              <w:bottom w:val="nil"/>
              <w:right w:val="nil"/>
            </w:tcBorders>
            <w:shd w:val="clear" w:color="auto" w:fill="auto"/>
            <w:noWrap/>
            <w:tcMar>
              <w:top w:w="15" w:type="dxa"/>
              <w:left w:w="15" w:type="dxa"/>
              <w:bottom w:w="0" w:type="dxa"/>
              <w:right w:w="15" w:type="dxa"/>
            </w:tcMar>
            <w:hideMark/>
          </w:tcPr>
          <w:p w:rsidR="0032208C" w:rsidRDefault="0032208C">
            <w:pPr>
              <w:rPr>
                <w:color w:val="000000"/>
                <w:sz w:val="22"/>
                <w:szCs w:val="22"/>
              </w:rPr>
            </w:pPr>
            <w:r>
              <w:rPr>
                <w:color w:val="000000"/>
                <w:sz w:val="22"/>
                <w:szCs w:val="22"/>
              </w:rPr>
              <w:t>For the year ended 31st March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1075" w:type="dxa"/>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b/>
                <w:bCs/>
                <w:color w:val="000000"/>
                <w:sz w:val="22"/>
                <w:szCs w:val="22"/>
              </w:rPr>
            </w:pPr>
            <w:r>
              <w:rPr>
                <w:b/>
                <w:bCs/>
                <w:color w:val="000000"/>
                <w:sz w:val="22"/>
                <w:szCs w:val="22"/>
              </w:rPr>
              <w:t xml:space="preserve"> 2020</w:t>
            </w:r>
            <w:r>
              <w:rPr>
                <w:b/>
                <w:bCs/>
                <w:color w:val="000000"/>
                <w:sz w:val="22"/>
                <w:szCs w:val="22"/>
              </w:rPr>
              <w:br/>
              <w:t xml:space="preserve">Rs. '000 </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color w:val="000000"/>
                <w:sz w:val="22"/>
                <w:szCs w:val="22"/>
              </w:rPr>
            </w:pPr>
            <w:r>
              <w:rPr>
                <w:color w:val="000000"/>
                <w:sz w:val="22"/>
                <w:szCs w:val="22"/>
              </w:rPr>
              <w:t xml:space="preserve"> 2019</w:t>
            </w:r>
            <w:r>
              <w:rPr>
                <w:color w:val="000000"/>
                <w:sz w:val="22"/>
                <w:szCs w:val="22"/>
              </w:rPr>
              <w:br/>
              <w:t xml:space="preserve">Rs. '000 </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color w:val="000000"/>
                <w:sz w:val="22"/>
                <w:szCs w:val="22"/>
              </w:rPr>
            </w:pPr>
            <w:r>
              <w:rPr>
                <w:color w:val="000000"/>
                <w:sz w:val="22"/>
                <w:szCs w:val="22"/>
              </w:rPr>
              <w:t xml:space="preserve"> Change</w:t>
            </w:r>
            <w:r>
              <w:rPr>
                <w:color w:val="000000"/>
                <w:sz w:val="22"/>
                <w:szCs w:val="22"/>
              </w:rPr>
              <w:br/>
              <w:t xml:space="preserve">% </w:t>
            </w:r>
          </w:p>
        </w:tc>
        <w:tc>
          <w:tcPr>
            <w:tcW w:w="1130" w:type="dxa"/>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b/>
                <w:bCs/>
                <w:color w:val="000000"/>
                <w:sz w:val="22"/>
                <w:szCs w:val="22"/>
              </w:rPr>
            </w:pPr>
            <w:r>
              <w:rPr>
                <w:b/>
                <w:bCs/>
                <w:color w:val="000000"/>
                <w:sz w:val="22"/>
                <w:szCs w:val="22"/>
              </w:rPr>
              <w:t xml:space="preserve"> 2020</w:t>
            </w:r>
            <w:r>
              <w:rPr>
                <w:b/>
                <w:bCs/>
                <w:color w:val="000000"/>
                <w:sz w:val="22"/>
                <w:szCs w:val="22"/>
              </w:rPr>
              <w:br/>
              <w:t xml:space="preserve">Rs. '000 </w:t>
            </w:r>
          </w:p>
        </w:tc>
        <w:tc>
          <w:tcPr>
            <w:tcW w:w="1405" w:type="dxa"/>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color w:val="000000"/>
                <w:sz w:val="22"/>
                <w:szCs w:val="22"/>
              </w:rPr>
            </w:pPr>
            <w:r>
              <w:rPr>
                <w:color w:val="000000"/>
                <w:sz w:val="22"/>
                <w:szCs w:val="22"/>
              </w:rPr>
              <w:t>2019</w:t>
            </w:r>
            <w:r>
              <w:rPr>
                <w:color w:val="000000"/>
                <w:sz w:val="22"/>
                <w:szCs w:val="22"/>
              </w:rPr>
              <w:br/>
              <w:t>Rs. '000</w:t>
            </w:r>
          </w:p>
        </w:tc>
        <w:tc>
          <w:tcPr>
            <w:tcW w:w="1480" w:type="dxa"/>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jc w:val="center"/>
              <w:rPr>
                <w:color w:val="000000"/>
                <w:sz w:val="22"/>
                <w:szCs w:val="22"/>
              </w:rPr>
            </w:pPr>
            <w:r>
              <w:rPr>
                <w:color w:val="000000"/>
                <w:sz w:val="22"/>
                <w:szCs w:val="22"/>
              </w:rPr>
              <w:t xml:space="preserve"> Change</w:t>
            </w:r>
            <w:r>
              <w:rPr>
                <w:color w:val="000000"/>
                <w:sz w:val="22"/>
                <w:szCs w:val="22"/>
              </w:rPr>
              <w:br/>
              <w:t xml:space="preserve">%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color w:val="000000"/>
                <w:sz w:val="22"/>
                <w:szCs w:val="22"/>
              </w:rPr>
            </w:pPr>
          </w:p>
        </w:tc>
      </w:tr>
      <w:tr w:rsidR="0032208C" w:rsidTr="0032208C">
        <w:trPr>
          <w:trHeight w:val="31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Gross income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33,599,314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32,735,639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2.64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40,054,830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38,356,205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4.43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Interest income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31,459,108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30,836,300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2.02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33,282,879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32,234,340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3.25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Less: Interest expense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15,786,586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15,646,099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0.90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16,110,935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15,891,298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1.38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Net interest income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15,672,522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15,190,201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3.18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17,171,944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16,343,042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5.07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Net earned premium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5,202,030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4,728,573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10.01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Fee and commission income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1,694,014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1,508,952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12.26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1,165,632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1,004,297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16.06 </w:t>
            </w:r>
          </w:p>
        </w:tc>
      </w:tr>
      <w:tr w:rsidR="0032208C" w:rsidTr="0032208C">
        <w:trPr>
          <w:trHeight w:val="300"/>
        </w:trPr>
        <w:tc>
          <w:tcPr>
            <w:tcW w:w="472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Net gains/(losses) on financial assets - FVTPL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11,017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(27,887)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(139.51)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19,586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(44,351)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(144.16)</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Other operating income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435,175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418,274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4.04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384,703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433,346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(11.22)</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Total operating income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17,812,728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17,089,540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4.23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23,943,895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22,464,907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6.58 </w:t>
            </w:r>
          </w:p>
        </w:tc>
      </w:tr>
      <w:tr w:rsidR="0032208C" w:rsidTr="0032208C">
        <w:trPr>
          <w:trHeight w:val="600"/>
        </w:trPr>
        <w:tc>
          <w:tcPr>
            <w:tcW w:w="472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Less: Impairment charges for loans and </w:t>
            </w:r>
            <w:r w:rsidR="00DD0B74">
              <w:rPr>
                <w:color w:val="000000"/>
                <w:sz w:val="22"/>
                <w:szCs w:val="22"/>
              </w:rPr>
              <w:t>receivables</w:t>
            </w:r>
            <w:r w:rsidR="00DD0B74">
              <w:rPr>
                <w:color w:val="000000"/>
                <w:sz w:val="22"/>
                <w:szCs w:val="22"/>
              </w:rPr>
              <w:br/>
              <w:t xml:space="preserve">          and </w:t>
            </w:r>
            <w:r>
              <w:rPr>
                <w:color w:val="000000"/>
                <w:sz w:val="22"/>
                <w:szCs w:val="22"/>
              </w:rPr>
              <w:t xml:space="preserve">losses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4,646,683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1,586,506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192.89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4,901,902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1,708,203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186.96 </w:t>
            </w:r>
          </w:p>
        </w:tc>
      </w:tr>
      <w:tr w:rsidR="0032208C" w:rsidTr="0032208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         Impairment charges for investment in associate</w:t>
            </w:r>
          </w:p>
        </w:tc>
        <w:tc>
          <w:tcPr>
            <w:tcW w:w="0" w:type="auto"/>
            <w:tcBorders>
              <w:top w:val="nil"/>
              <w:left w:val="nil"/>
              <w:bottom w:val="nil"/>
              <w:right w:val="nil"/>
            </w:tcBorders>
            <w:shd w:val="clear" w:color="auto" w:fill="auto"/>
            <w:tcMar>
              <w:top w:w="15" w:type="dxa"/>
              <w:left w:w="15" w:type="dxa"/>
              <w:bottom w:w="0" w:type="dxa"/>
              <w:right w:w="15" w:type="dxa"/>
            </w:tcMar>
            <w:vAlign w:val="bottom"/>
          </w:tcPr>
          <w:p w:rsidR="0032208C" w:rsidRDefault="0032208C">
            <w:pPr>
              <w:rPr>
                <w:color w:val="000000"/>
                <w:sz w:val="22"/>
                <w:szCs w:val="22"/>
              </w:rPr>
            </w:pPr>
          </w:p>
        </w:tc>
        <w:tc>
          <w:tcPr>
            <w:tcW w:w="0" w:type="auto"/>
            <w:gridSpan w:val="2"/>
            <w:tcBorders>
              <w:top w:val="nil"/>
              <w:left w:val="nil"/>
              <w:bottom w:val="nil"/>
              <w:right w:val="nil"/>
            </w:tcBorders>
            <w:shd w:val="clear" w:color="auto" w:fill="auto"/>
            <w:tcMar>
              <w:top w:w="15" w:type="dxa"/>
              <w:left w:w="15" w:type="dxa"/>
              <w:bottom w:w="0" w:type="dxa"/>
              <w:right w:w="15" w:type="dxa"/>
            </w:tcMar>
            <w:vAlign w:val="bottom"/>
          </w:tcPr>
          <w:p w:rsidR="0032208C" w:rsidRDefault="0032208C" w:rsidP="0032208C">
            <w:pPr>
              <w:jc w:val="right"/>
              <w:rPr>
                <w:b/>
                <w:bCs/>
                <w:color w:val="000000"/>
                <w:sz w:val="22"/>
                <w:szCs w:val="22"/>
              </w:rPr>
            </w:pPr>
            <w:r>
              <w:rPr>
                <w:b/>
                <w:bCs/>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348,794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152,572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(100.00)</w:t>
            </w:r>
          </w:p>
        </w:tc>
      </w:tr>
      <w:tr w:rsidR="0032208C" w:rsidTr="0032208C">
        <w:trPr>
          <w:trHeight w:val="315"/>
        </w:trPr>
        <w:tc>
          <w:tcPr>
            <w:tcW w:w="472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         Impairment charges for right to use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36,965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36,965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100.00 </w:t>
            </w:r>
          </w:p>
        </w:tc>
      </w:tr>
      <w:tr w:rsidR="0032208C" w:rsidTr="0032208C">
        <w:trPr>
          <w:trHeight w:val="300"/>
        </w:trPr>
        <w:tc>
          <w:tcPr>
            <w:tcW w:w="472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         Impairment charges for goodwill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68,145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19,580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248.03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68,145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19,580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248.03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Net operating income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13,060,935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15,134,660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(13.70)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18,936,883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20,584,552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(8.00)</w:t>
            </w:r>
          </w:p>
        </w:tc>
      </w:tr>
      <w:tr w:rsidR="0032208C" w:rsidTr="0032208C">
        <w:trPr>
          <w:trHeight w:val="49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Less: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Personnel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3,701,385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3,438,167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7.66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4,561,026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4,166,618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9.47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Depreciation and </w:t>
            </w:r>
            <w:proofErr w:type="spellStart"/>
            <w:r>
              <w:rPr>
                <w:color w:val="000000"/>
                <w:sz w:val="22"/>
                <w:szCs w:val="22"/>
              </w:rPr>
              <w:t>amortisation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717,021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179,607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299.22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635,998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302,360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110.34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Benefits, claims and underwriting expenditure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3,441,937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3,328,705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3.40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Other operating expenses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2,088,244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2,844,419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(26.58)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2,565,073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3,048,420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(15.86)</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Total operating expenses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6,506,650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6,462,193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0.69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11,204,034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10,846,103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3.30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585"/>
        </w:trPr>
        <w:tc>
          <w:tcPr>
            <w:tcW w:w="472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Operating profit before taxes on financial services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6,554,285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8,672,467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(24.42)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7,732,849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9,738,449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(20.59)</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Less : Tax on financial services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2,002,460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2,087,210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2,030,532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2,117,910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(4.13)</w:t>
            </w:r>
          </w:p>
        </w:tc>
      </w:tr>
      <w:tr w:rsidR="0032208C" w:rsidTr="0032208C">
        <w:trPr>
          <w:trHeight w:val="585"/>
        </w:trPr>
        <w:tc>
          <w:tcPr>
            <w:tcW w:w="472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lastRenderedPageBreak/>
              <w:t xml:space="preserve">Operating profit after taxes on financial services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4,551,825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6,585,257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(30.88)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5,702,317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7,620,539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(25.17)</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Share of profit/(loss) of an associate (net of tax)</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(33,234)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100.00 </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Profit before income tax expense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4,551,825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6,585,257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(30.88)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5,702,317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7,587,305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(24.84)</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 xml:space="preserve">Less : Income tax expense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1,609,317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2,169,136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(25.81)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2,110,568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2,576,037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(18.07)</w:t>
            </w:r>
          </w:p>
        </w:tc>
      </w:tr>
      <w:tr w:rsidR="0032208C" w:rsidTr="0032208C">
        <w:trPr>
          <w:trHeight w:val="31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Profit for the year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2,942,508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4,416,121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(33.37)</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3,591,749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5,011,268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(28.33)</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Profit attributable to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Equity holders of the Company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2,942,508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4,416,121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(33.37)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3,408,670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4,813,578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(29.19)</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Non-controlling interest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183,079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197,690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(7.39)</w:t>
            </w:r>
          </w:p>
        </w:tc>
      </w:tr>
      <w:tr w:rsidR="0032208C" w:rsidTr="0032208C">
        <w:trPr>
          <w:trHeight w:val="31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r>
              <w:rPr>
                <w:b/>
                <w:bCs/>
                <w:color w:val="000000"/>
                <w:sz w:val="22"/>
                <w:szCs w:val="22"/>
              </w:rPr>
              <w:t xml:space="preserve">Profit for the year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2,942,508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4,416,121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(33.37)</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3,591,749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5,011,268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(28.33)</w:t>
            </w:r>
          </w:p>
        </w:tc>
      </w:tr>
      <w:tr w:rsidR="0032208C" w:rsidTr="0032208C">
        <w:trPr>
          <w:trHeight w:val="18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FF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FF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FF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FF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FF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FF0000"/>
                <w:sz w:val="22"/>
                <w:szCs w:val="22"/>
              </w:rPr>
            </w:pP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Basic / Diluted earnings per ordinary share (Rs.)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1.83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2.80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(34.64)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2.11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3.05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(30.82)</w:t>
            </w:r>
          </w:p>
        </w:tc>
      </w:tr>
      <w:tr w:rsidR="0032208C" w:rsidTr="0032208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r>
              <w:rPr>
                <w:color w:val="000000"/>
                <w:sz w:val="22"/>
                <w:szCs w:val="22"/>
              </w:rPr>
              <w:t>Dividend per Ordinary share (Rs.)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000000"/>
                <w:sz w:val="22"/>
                <w:szCs w:val="22"/>
              </w:rPr>
            </w:pPr>
            <w:r>
              <w:rPr>
                <w:b/>
                <w:bCs/>
                <w:color w:val="000000"/>
                <w:sz w:val="22"/>
                <w:szCs w:val="22"/>
              </w:rPr>
              <w:t xml:space="preserve">            1.20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1.25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000000"/>
                <w:sz w:val="22"/>
                <w:szCs w:val="22"/>
              </w:rPr>
            </w:pPr>
            <w:r>
              <w:rPr>
                <w:color w:val="000000"/>
                <w:sz w:val="22"/>
                <w:szCs w:val="22"/>
              </w:rPr>
              <w:t xml:space="preserve">        (4.00)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b/>
                <w:bCs/>
                <w:color w:val="FFFFFF"/>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FFFFFF"/>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color w:val="FFFFFF"/>
                <w:sz w:val="22"/>
                <w:szCs w:val="22"/>
              </w:rPr>
            </w:pPr>
          </w:p>
        </w:tc>
      </w:tr>
    </w:tbl>
    <w:p w:rsidR="0032208C" w:rsidRDefault="0032208C">
      <w:r>
        <w:t xml:space="preserve"> </w:t>
      </w:r>
    </w:p>
    <w:p w:rsidR="0032208C" w:rsidRDefault="0032208C">
      <w:r>
        <w:br w:type="page"/>
      </w:r>
    </w:p>
    <w:tbl>
      <w:tblPr>
        <w:tblW w:w="11180" w:type="dxa"/>
        <w:tblInd w:w="2117" w:type="dxa"/>
        <w:tblCellMar>
          <w:left w:w="0" w:type="dxa"/>
          <w:right w:w="0" w:type="dxa"/>
        </w:tblCellMar>
        <w:tblLook w:val="04A0"/>
      </w:tblPr>
      <w:tblGrid>
        <w:gridCol w:w="11180"/>
      </w:tblGrid>
      <w:tr w:rsidR="0032208C" w:rsidTr="0032208C">
        <w:trPr>
          <w:trHeight w:val="375"/>
        </w:trPr>
        <w:tc>
          <w:tcPr>
            <w:tcW w:w="11180" w:type="dxa"/>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sz w:val="28"/>
                <w:szCs w:val="28"/>
              </w:rPr>
            </w:pPr>
            <w:r>
              <w:rPr>
                <w:rFonts w:ascii="Book Antiqua" w:hAnsi="Book Antiqua" w:cs="Arial"/>
                <w:sz w:val="28"/>
                <w:szCs w:val="28"/>
              </w:rPr>
              <w:lastRenderedPageBreak/>
              <w:t>SELECTED PERFORMANCE INDICATORS</w:t>
            </w:r>
          </w:p>
        </w:tc>
      </w:tr>
    </w:tbl>
    <w:p w:rsidR="0032208C" w:rsidRDefault="0032208C">
      <w:r>
        <w:t xml:space="preserve"> </w:t>
      </w:r>
    </w:p>
    <w:tbl>
      <w:tblPr>
        <w:tblW w:w="11180" w:type="dxa"/>
        <w:tblInd w:w="2117" w:type="dxa"/>
        <w:tblCellMar>
          <w:left w:w="0" w:type="dxa"/>
          <w:right w:w="0" w:type="dxa"/>
        </w:tblCellMar>
        <w:tblLook w:val="04A0"/>
      </w:tblPr>
      <w:tblGrid>
        <w:gridCol w:w="7920"/>
        <w:gridCol w:w="1793"/>
        <w:gridCol w:w="1467"/>
      </w:tblGrid>
      <w:tr w:rsidR="0032208C" w:rsidTr="0032208C">
        <w:trPr>
          <w:trHeight w:val="345"/>
        </w:trPr>
        <w:tc>
          <w:tcPr>
            <w:tcW w:w="7920" w:type="dxa"/>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p>
        </w:tc>
        <w:tc>
          <w:tcPr>
            <w:tcW w:w="32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rFonts w:ascii="Book Antiqua" w:hAnsi="Book Antiqua" w:cs="Arial"/>
                <w:b/>
                <w:bCs/>
              </w:rPr>
            </w:pPr>
            <w:r>
              <w:rPr>
                <w:rFonts w:ascii="Book Antiqua" w:hAnsi="Book Antiqua" w:cs="Arial"/>
                <w:b/>
                <w:bCs/>
              </w:rPr>
              <w:t>Company</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5C7417">
            <w:pPr>
              <w:rPr>
                <w:rFonts w:ascii="Book Antiqua" w:hAnsi="Book Antiqua" w:cs="Arial"/>
              </w:rPr>
            </w:pPr>
            <w:r>
              <w:rPr>
                <w:rFonts w:ascii="Book Antiqua" w:hAnsi="Book Antiqua" w:cs="Arial"/>
              </w:rPr>
              <w:t>As at 31</w:t>
            </w:r>
            <w:r w:rsidRPr="005C7417">
              <w:rPr>
                <w:rFonts w:ascii="Book Antiqua" w:hAnsi="Book Antiqua" w:cs="Arial"/>
                <w:vertAlign w:val="superscript"/>
              </w:rPr>
              <w:t>st</w:t>
            </w:r>
            <w:r>
              <w:rPr>
                <w:rFonts w:ascii="Book Antiqua" w:hAnsi="Book Antiqua" w:cs="Arial"/>
              </w:rPr>
              <w:t xml:space="preserve"> March</w:t>
            </w:r>
          </w:p>
        </w:tc>
        <w:tc>
          <w:tcPr>
            <w:tcW w:w="0" w:type="auto"/>
            <w:tcBorders>
              <w:top w:val="single" w:sz="8" w:space="0" w:color="auto"/>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pPr>
              <w:jc w:val="center"/>
              <w:rPr>
                <w:rFonts w:ascii="Book Antiqua" w:hAnsi="Book Antiqua" w:cs="Arial"/>
                <w:b/>
                <w:bCs/>
              </w:rPr>
            </w:pPr>
            <w:r>
              <w:rPr>
                <w:rFonts w:ascii="Book Antiqua" w:hAnsi="Book Antiqua" w:cs="Arial"/>
                <w:b/>
                <w:bCs/>
              </w:rPr>
              <w:t xml:space="preserve">As at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rFonts w:ascii="Book Antiqua" w:hAnsi="Book Antiqua" w:cs="Arial"/>
                <w:b/>
                <w:bCs/>
              </w:rPr>
            </w:pPr>
            <w:r>
              <w:rPr>
                <w:rFonts w:ascii="Book Antiqua" w:hAnsi="Book Antiqua" w:cs="Arial"/>
                <w:b/>
                <w:bCs/>
              </w:rPr>
              <w:t xml:space="preserve">As at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pPr>
              <w:jc w:val="center"/>
              <w:rPr>
                <w:rFonts w:ascii="Book Antiqua" w:hAnsi="Book Antiqua" w:cs="Arial"/>
                <w:b/>
                <w:bCs/>
              </w:rPr>
            </w:pPr>
            <w:r>
              <w:rPr>
                <w:rFonts w:ascii="Book Antiqua" w:hAnsi="Book Antiqua" w:cs="Arial"/>
                <w:b/>
                <w:bCs/>
              </w:rPr>
              <w:t>2020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jc w:val="center"/>
              <w:rPr>
                <w:rFonts w:ascii="Book Antiqua" w:hAnsi="Book Antiqua" w:cs="Arial"/>
                <w:b/>
                <w:bCs/>
              </w:rPr>
            </w:pPr>
            <w:r>
              <w:rPr>
                <w:rFonts w:ascii="Book Antiqua" w:hAnsi="Book Antiqua" w:cs="Arial"/>
                <w:b/>
                <w:bCs/>
              </w:rPr>
              <w:t>2019</w:t>
            </w:r>
          </w:p>
        </w:tc>
      </w:tr>
      <w:tr w:rsidR="0032208C" w:rsidTr="0032208C">
        <w:trPr>
          <w:trHeight w:val="34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Regulatory Capital Adequacy</w:t>
            </w:r>
          </w:p>
        </w:tc>
        <w:tc>
          <w:tcPr>
            <w:tcW w:w="0" w:type="auto"/>
            <w:tcBorders>
              <w:top w:val="nil"/>
              <w:left w:val="single" w:sz="8" w:space="0" w:color="auto"/>
              <w:bottom w:val="single" w:sz="8"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Core Capital (Tier1 Capital) - Rs.000</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29,269,430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26,517,785 </w:t>
            </w:r>
          </w:p>
        </w:tc>
      </w:tr>
      <w:tr w:rsidR="0032208C" w:rsidTr="0032208C">
        <w:trPr>
          <w:trHeight w:val="330"/>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Total Capital Base - Rs.000</w:t>
            </w:r>
          </w:p>
        </w:tc>
        <w:tc>
          <w:tcPr>
            <w:tcW w:w="0" w:type="auto"/>
            <w:tcBorders>
              <w:top w:val="single" w:sz="4" w:space="0" w:color="auto"/>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30,941,745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28,065,758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5C7417">
            <w:pPr>
              <w:rPr>
                <w:rFonts w:ascii="Book Antiqua" w:hAnsi="Book Antiqua" w:cs="Arial"/>
              </w:rPr>
            </w:pPr>
            <w:r>
              <w:rPr>
                <w:rFonts w:ascii="Book Antiqua" w:hAnsi="Book Antiqua" w:cs="Arial"/>
              </w:rPr>
              <w:t>Tier 1 Capital Ratio (Minimum 7</w:t>
            </w:r>
            <w:r w:rsidR="0032208C">
              <w:rPr>
                <w:rFonts w:ascii="Book Antiqua" w:hAnsi="Book Antiqua" w:cs="Arial"/>
              </w:rPr>
              <w:t>%) (%)</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15.12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14.36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5C7417">
            <w:pPr>
              <w:rPr>
                <w:rFonts w:ascii="Book Antiqua" w:hAnsi="Book Antiqua" w:cs="Arial"/>
              </w:rPr>
            </w:pPr>
            <w:r>
              <w:rPr>
                <w:rFonts w:ascii="Book Antiqua" w:hAnsi="Book Antiqua" w:cs="Arial"/>
              </w:rPr>
              <w:t>Total Capital Ratio (Minimum 11</w:t>
            </w:r>
            <w:r w:rsidR="0032208C">
              <w:rPr>
                <w:rFonts w:ascii="Book Antiqua" w:hAnsi="Book Antiqua" w:cs="Arial"/>
              </w:rPr>
              <w:t>%) (%)</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15.99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15.20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 xml:space="preserve">Capital Funds to Total Deposit Liabilities Ratio (Minimum 10%) </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28.35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32.37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p>
        </w:tc>
      </w:tr>
      <w:tr w:rsidR="0032208C" w:rsidTr="0032208C">
        <w:trPr>
          <w:trHeight w:val="34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Asset Quality (Rs. '000)</w:t>
            </w:r>
          </w:p>
        </w:tc>
        <w:tc>
          <w:tcPr>
            <w:tcW w:w="0" w:type="auto"/>
            <w:tcBorders>
              <w:top w:val="nil"/>
              <w:left w:val="single" w:sz="8" w:space="0" w:color="auto"/>
              <w:bottom w:val="single" w:sz="8"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 xml:space="preserve">Gross Non-Performing Advances </w:t>
            </w:r>
            <w:r w:rsidR="00A030D4">
              <w:rPr>
                <w:rFonts w:ascii="Book Antiqua" w:hAnsi="Book Antiqua" w:cs="Arial"/>
              </w:rPr>
              <w:t>(Rs.’000)</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14,416,156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7,213,587 </w:t>
            </w:r>
          </w:p>
        </w:tc>
      </w:tr>
      <w:tr w:rsidR="0032208C" w:rsidTr="0032208C">
        <w:trPr>
          <w:trHeight w:val="330"/>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Gross Non-Performing Advances Ratio (%)</w:t>
            </w:r>
          </w:p>
        </w:tc>
        <w:tc>
          <w:tcPr>
            <w:tcW w:w="0" w:type="auto"/>
            <w:tcBorders>
              <w:top w:val="single" w:sz="4" w:space="0" w:color="auto"/>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9.13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4.58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Net Non-Performing Advances Ratio (%)</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2.55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0.77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p>
        </w:tc>
      </w:tr>
      <w:tr w:rsidR="0032208C" w:rsidTr="0032208C">
        <w:trPr>
          <w:trHeight w:val="34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Liquidity  (Rs. '000)</w:t>
            </w:r>
          </w:p>
        </w:tc>
        <w:tc>
          <w:tcPr>
            <w:tcW w:w="0" w:type="auto"/>
            <w:tcBorders>
              <w:top w:val="nil"/>
              <w:left w:val="single" w:sz="8" w:space="0" w:color="auto"/>
              <w:bottom w:val="single" w:sz="8"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Required Minimum Amount of Liquid Assets</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7,656,046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12,113,224 </w:t>
            </w:r>
          </w:p>
        </w:tc>
      </w:tr>
      <w:tr w:rsidR="0032208C" w:rsidTr="0032208C">
        <w:trPr>
          <w:trHeight w:val="330"/>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Available Amount of Liquid Assets</w:t>
            </w:r>
          </w:p>
        </w:tc>
        <w:tc>
          <w:tcPr>
            <w:tcW w:w="0" w:type="auto"/>
            <w:tcBorders>
              <w:top w:val="single" w:sz="4" w:space="0" w:color="auto"/>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14,459,377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13,192,697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Required Minimum Amount of Government Securities</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6,622,410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8,012,871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Available Amount of Government Securities</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9,240,656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8,290,205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p>
        </w:tc>
      </w:tr>
      <w:tr w:rsidR="0032208C" w:rsidTr="0032208C">
        <w:trPr>
          <w:trHeight w:val="34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030D4" w:rsidRDefault="00A030D4">
            <w:pPr>
              <w:rPr>
                <w:rFonts w:ascii="Book Antiqua" w:hAnsi="Book Antiqua" w:cs="Arial"/>
                <w:b/>
                <w:bCs/>
              </w:rPr>
            </w:pPr>
          </w:p>
          <w:p w:rsidR="00A030D4" w:rsidRDefault="00A030D4">
            <w:pPr>
              <w:rPr>
                <w:rFonts w:ascii="Book Antiqua" w:hAnsi="Book Antiqua" w:cs="Arial"/>
                <w:b/>
                <w:bCs/>
              </w:rPr>
            </w:pPr>
          </w:p>
          <w:p w:rsidR="0032208C" w:rsidRDefault="0032208C">
            <w:pPr>
              <w:rPr>
                <w:rFonts w:ascii="Book Antiqua" w:hAnsi="Book Antiqua" w:cs="Arial"/>
                <w:b/>
                <w:bCs/>
              </w:rPr>
            </w:pPr>
            <w:r>
              <w:rPr>
                <w:rFonts w:ascii="Book Antiqua" w:hAnsi="Book Antiqua" w:cs="Arial"/>
                <w:b/>
                <w:bCs/>
              </w:rPr>
              <w:lastRenderedPageBreak/>
              <w:t>Profitability</w:t>
            </w:r>
            <w:r>
              <w:rPr>
                <w:rFonts w:ascii="Book Antiqua" w:hAnsi="Book Antiqua" w:cs="Arial"/>
              </w:rPr>
              <w:t xml:space="preserve"> </w:t>
            </w:r>
          </w:p>
        </w:tc>
        <w:tc>
          <w:tcPr>
            <w:tcW w:w="0" w:type="auto"/>
            <w:tcBorders>
              <w:top w:val="nil"/>
              <w:left w:val="single" w:sz="8" w:space="0" w:color="auto"/>
              <w:bottom w:val="single" w:sz="8"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lastRenderedPageBreak/>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lastRenderedPageBreak/>
              <w:t> </w:t>
            </w: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A030D4">
            <w:pPr>
              <w:rPr>
                <w:rFonts w:ascii="Book Antiqua" w:hAnsi="Book Antiqua" w:cs="Arial"/>
              </w:rPr>
            </w:pPr>
            <w:r>
              <w:rPr>
                <w:rFonts w:ascii="Book Antiqua" w:hAnsi="Book Antiqua" w:cs="Arial"/>
              </w:rPr>
              <w:t xml:space="preserve">Net </w:t>
            </w:r>
            <w:r w:rsidR="0032208C">
              <w:rPr>
                <w:rFonts w:ascii="Book Antiqua" w:hAnsi="Book Antiqua" w:cs="Arial"/>
              </w:rPr>
              <w:t>Interest Margin</w:t>
            </w:r>
            <w:r>
              <w:rPr>
                <w:rFonts w:ascii="Book Antiqua" w:hAnsi="Book Antiqua" w:cs="Arial"/>
              </w:rPr>
              <w:t xml:space="preserve"> (%)</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9.68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9.70</w:t>
            </w:r>
          </w:p>
        </w:tc>
      </w:tr>
      <w:tr w:rsidR="0032208C" w:rsidTr="0032208C">
        <w:trPr>
          <w:trHeight w:val="330"/>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Return on Average Assets (before Tax)</w:t>
            </w:r>
            <w:r w:rsidR="00A030D4">
              <w:rPr>
                <w:rFonts w:ascii="Book Antiqua" w:hAnsi="Book Antiqua" w:cs="Arial"/>
              </w:rPr>
              <w:t xml:space="preserve"> (%)</w:t>
            </w:r>
          </w:p>
        </w:tc>
        <w:tc>
          <w:tcPr>
            <w:tcW w:w="0" w:type="auto"/>
            <w:tcBorders>
              <w:top w:val="single" w:sz="4" w:space="0" w:color="auto"/>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2.64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3.95</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Return on Average Equity</w:t>
            </w:r>
            <w:r w:rsidR="00A030D4">
              <w:rPr>
                <w:rFonts w:ascii="Book Antiqua" w:hAnsi="Book Antiqua" w:cs="Arial"/>
              </w:rPr>
              <w:t xml:space="preserve"> (%)</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10.00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15.88</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p>
        </w:tc>
      </w:tr>
      <w:tr w:rsidR="0032208C" w:rsidTr="0032208C">
        <w:trPr>
          <w:trHeight w:val="34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Memorandum information</w:t>
            </w:r>
          </w:p>
        </w:tc>
        <w:tc>
          <w:tcPr>
            <w:tcW w:w="0" w:type="auto"/>
            <w:tcBorders>
              <w:top w:val="nil"/>
              <w:left w:val="single" w:sz="8" w:space="0" w:color="auto"/>
              <w:bottom w:val="single" w:sz="8"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w:t>
            </w:r>
          </w:p>
        </w:tc>
      </w:tr>
      <w:tr w:rsidR="0032208C" w:rsidTr="0032208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b/>
                <w:bCs/>
              </w:rPr>
            </w:pPr>
            <w:r>
              <w:rPr>
                <w:rFonts w:ascii="Book Antiqua" w:hAnsi="Book Antiqua" w:cs="Arial"/>
                <w:b/>
                <w:bCs/>
              </w:rPr>
              <w:t> </w:t>
            </w:r>
          </w:p>
        </w:tc>
        <w:tc>
          <w:tcPr>
            <w:tcW w:w="0" w:type="auto"/>
            <w:tcBorders>
              <w:top w:val="nil"/>
              <w:left w:val="single" w:sz="8" w:space="0" w:color="auto"/>
              <w:bottom w:val="nil"/>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Number of employees</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2,401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2,329 </w:t>
            </w:r>
          </w:p>
        </w:tc>
      </w:tr>
      <w:tr w:rsidR="0032208C" w:rsidTr="0032208C">
        <w:trPr>
          <w:trHeight w:val="330"/>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Number of branches</w:t>
            </w:r>
          </w:p>
        </w:tc>
        <w:tc>
          <w:tcPr>
            <w:tcW w:w="0" w:type="auto"/>
            <w:tcBorders>
              <w:top w:val="single" w:sz="4" w:space="0" w:color="auto"/>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103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103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Number of service centers</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101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101 </w:t>
            </w:r>
          </w:p>
        </w:tc>
      </w:tr>
      <w:tr w:rsidR="0032208C" w:rsidTr="0032208C">
        <w:trPr>
          <w:trHeight w:val="33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pPr>
              <w:rPr>
                <w:rFonts w:ascii="Book Antiqua" w:hAnsi="Book Antiqua" w:cs="Arial"/>
              </w:rPr>
            </w:pPr>
            <w:r>
              <w:rPr>
                <w:rFonts w:ascii="Book Antiqua" w:hAnsi="Book Antiqua" w:cs="Arial"/>
              </w:rPr>
              <w:t>Number of pawning centers</w:t>
            </w:r>
          </w:p>
        </w:tc>
        <w:tc>
          <w:tcPr>
            <w:tcW w:w="0" w:type="auto"/>
            <w:tcBorders>
              <w:top w:val="nil"/>
              <w:left w:val="single" w:sz="8" w:space="0" w:color="auto"/>
              <w:bottom w:val="single" w:sz="4" w:space="0" w:color="auto"/>
              <w:right w:val="single" w:sz="8" w:space="0" w:color="auto"/>
            </w:tcBorders>
            <w:shd w:val="clear" w:color="000000" w:fill="D8D8D8"/>
            <w:noWrap/>
            <w:tcMar>
              <w:top w:w="15" w:type="dxa"/>
              <w:left w:w="15" w:type="dxa"/>
              <w:bottom w:w="0" w:type="dxa"/>
              <w:right w:w="15" w:type="dxa"/>
            </w:tcMar>
            <w:vAlign w:val="bottom"/>
            <w:hideMark/>
          </w:tcPr>
          <w:p w:rsidR="0032208C" w:rsidRDefault="0032208C" w:rsidP="0032208C">
            <w:pPr>
              <w:jc w:val="right"/>
              <w:rPr>
                <w:rFonts w:ascii="Book Antiqua" w:hAnsi="Book Antiqua" w:cs="Arial"/>
                <w:b/>
                <w:bCs/>
              </w:rPr>
            </w:pPr>
            <w:r>
              <w:rPr>
                <w:rFonts w:ascii="Book Antiqua" w:hAnsi="Book Antiqua" w:cs="Arial"/>
                <w:b/>
                <w:bCs/>
              </w:rPr>
              <w:t xml:space="preserve">                        -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2208C" w:rsidRDefault="0032208C" w:rsidP="0032208C">
            <w:pPr>
              <w:jc w:val="right"/>
              <w:rPr>
                <w:rFonts w:ascii="Book Antiqua" w:hAnsi="Book Antiqua" w:cs="Arial"/>
              </w:rPr>
            </w:pPr>
            <w:r>
              <w:rPr>
                <w:rFonts w:ascii="Book Antiqua" w:hAnsi="Book Antiqua" w:cs="Arial"/>
              </w:rPr>
              <w:t xml:space="preserve">                   -   </w:t>
            </w:r>
          </w:p>
        </w:tc>
      </w:tr>
    </w:tbl>
    <w:p w:rsidR="0032208C" w:rsidRDefault="0032208C" w:rsidP="0032208C">
      <w:r>
        <w:t xml:space="preserve"> </w:t>
      </w:r>
    </w:p>
    <w:p w:rsidR="0032208C" w:rsidRDefault="0032208C">
      <w:r>
        <w:br w:type="page"/>
      </w:r>
    </w:p>
    <w:tbl>
      <w:tblPr>
        <w:tblW w:w="12710" w:type="dxa"/>
        <w:tblInd w:w="1351" w:type="dxa"/>
        <w:tblCellMar>
          <w:left w:w="0" w:type="dxa"/>
          <w:right w:w="0" w:type="dxa"/>
        </w:tblCellMar>
        <w:tblLook w:val="04A0"/>
      </w:tblPr>
      <w:tblGrid>
        <w:gridCol w:w="4924"/>
        <w:gridCol w:w="1057"/>
        <w:gridCol w:w="1112"/>
        <w:gridCol w:w="1180"/>
        <w:gridCol w:w="1057"/>
        <w:gridCol w:w="1220"/>
        <w:gridCol w:w="1180"/>
        <w:gridCol w:w="980"/>
      </w:tblGrid>
      <w:tr w:rsidR="008470C8" w:rsidTr="008470C8">
        <w:trPr>
          <w:trHeight w:val="405"/>
        </w:trPr>
        <w:tc>
          <w:tcPr>
            <w:tcW w:w="7093"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32"/>
                <w:szCs w:val="32"/>
              </w:rPr>
            </w:pPr>
            <w:bookmarkStart w:id="0" w:name="RANGE!A1"/>
            <w:r>
              <w:rPr>
                <w:color w:val="000000"/>
                <w:sz w:val="32"/>
                <w:szCs w:val="32"/>
              </w:rPr>
              <w:lastRenderedPageBreak/>
              <w:t xml:space="preserve">STATEMENT OF COMPREHENSIVE INCOME </w:t>
            </w:r>
            <w:bookmarkEnd w:id="0"/>
          </w:p>
        </w:tc>
        <w:tc>
          <w:tcPr>
            <w:tcW w:w="1180" w:type="dxa"/>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1057" w:type="dxa"/>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1220" w:type="dxa"/>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1180" w:type="dxa"/>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334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b/>
                <w:bCs/>
                <w:color w:val="000000"/>
                <w:sz w:val="22"/>
                <w:szCs w:val="22"/>
              </w:rPr>
            </w:pPr>
            <w:r>
              <w:rPr>
                <w:b/>
                <w:bCs/>
                <w:color w:val="000000"/>
                <w:sz w:val="22"/>
                <w:szCs w:val="22"/>
              </w:rPr>
              <w:t xml:space="preserve">Company </w:t>
            </w:r>
          </w:p>
        </w:tc>
        <w:tc>
          <w:tcPr>
            <w:tcW w:w="345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b/>
                <w:bCs/>
                <w:color w:val="000000"/>
                <w:sz w:val="22"/>
                <w:szCs w:val="22"/>
              </w:rPr>
            </w:pPr>
            <w:r>
              <w:rPr>
                <w:b/>
                <w:bCs/>
                <w:color w:val="000000"/>
                <w:sz w:val="22"/>
                <w:szCs w:val="22"/>
              </w:rPr>
              <w:t xml:space="preserve">Group </w:t>
            </w:r>
          </w:p>
        </w:tc>
        <w:tc>
          <w:tcPr>
            <w:tcW w:w="0" w:type="auto"/>
            <w:vAlign w:val="center"/>
            <w:hideMark/>
          </w:tcPr>
          <w:p w:rsidR="008470C8" w:rsidRDefault="008470C8">
            <w:pPr>
              <w:rPr>
                <w:sz w:val="20"/>
                <w:szCs w:val="20"/>
              </w:rPr>
            </w:pPr>
          </w:p>
        </w:tc>
      </w:tr>
      <w:tr w:rsidR="008470C8" w:rsidTr="008470C8">
        <w:trPr>
          <w:trHeight w:val="6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8470C8" w:rsidRDefault="008470C8">
            <w:pPr>
              <w:rPr>
                <w:b/>
                <w:bCs/>
                <w:color w:val="000000"/>
                <w:sz w:val="22"/>
                <w:szCs w:val="22"/>
              </w:rPr>
            </w:pPr>
            <w:r>
              <w:rPr>
                <w:b/>
                <w:bCs/>
                <w:color w:val="000000"/>
                <w:sz w:val="22"/>
                <w:szCs w:val="22"/>
              </w:rPr>
              <w:t>For the year ended 31st March</w:t>
            </w:r>
          </w:p>
        </w:tc>
        <w:tc>
          <w:tcPr>
            <w:tcW w:w="1057"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b/>
                <w:bCs/>
                <w:color w:val="000000"/>
                <w:sz w:val="22"/>
                <w:szCs w:val="22"/>
              </w:rPr>
            </w:pPr>
            <w:r>
              <w:rPr>
                <w:b/>
                <w:bCs/>
                <w:color w:val="000000"/>
                <w:sz w:val="22"/>
                <w:szCs w:val="22"/>
              </w:rPr>
              <w:t>2020</w:t>
            </w:r>
            <w:r>
              <w:rPr>
                <w:b/>
                <w:bCs/>
                <w:color w:val="000000"/>
                <w:sz w:val="22"/>
                <w:szCs w:val="22"/>
              </w:rPr>
              <w:br/>
              <w:t>Rs. '000</w:t>
            </w:r>
          </w:p>
        </w:tc>
        <w:tc>
          <w:tcPr>
            <w:tcW w:w="1112"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color w:val="000000"/>
                <w:sz w:val="22"/>
                <w:szCs w:val="22"/>
              </w:rPr>
            </w:pPr>
            <w:r>
              <w:rPr>
                <w:color w:val="000000"/>
                <w:sz w:val="22"/>
                <w:szCs w:val="22"/>
              </w:rPr>
              <w:t>2019</w:t>
            </w:r>
            <w:r>
              <w:rPr>
                <w:color w:val="000000"/>
                <w:sz w:val="22"/>
                <w:szCs w:val="22"/>
              </w:rPr>
              <w:br/>
              <w:t>Rs. '000</w:t>
            </w: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color w:val="000000"/>
                <w:sz w:val="22"/>
                <w:szCs w:val="22"/>
              </w:rPr>
            </w:pPr>
            <w:r>
              <w:rPr>
                <w:color w:val="000000"/>
                <w:sz w:val="22"/>
                <w:szCs w:val="22"/>
              </w:rPr>
              <w:t xml:space="preserve"> Change</w:t>
            </w:r>
            <w:r>
              <w:rPr>
                <w:color w:val="000000"/>
                <w:sz w:val="22"/>
                <w:szCs w:val="22"/>
              </w:rPr>
              <w:br/>
              <w:t xml:space="preserve">% </w:t>
            </w:r>
          </w:p>
        </w:tc>
        <w:tc>
          <w:tcPr>
            <w:tcW w:w="1057"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b/>
                <w:bCs/>
                <w:color w:val="000000"/>
                <w:sz w:val="22"/>
                <w:szCs w:val="22"/>
              </w:rPr>
            </w:pPr>
            <w:r>
              <w:rPr>
                <w:b/>
                <w:bCs/>
                <w:color w:val="000000"/>
                <w:sz w:val="22"/>
                <w:szCs w:val="22"/>
              </w:rPr>
              <w:t>2020</w:t>
            </w:r>
            <w:r>
              <w:rPr>
                <w:b/>
                <w:bCs/>
                <w:color w:val="000000"/>
                <w:sz w:val="22"/>
                <w:szCs w:val="22"/>
              </w:rPr>
              <w:br/>
              <w:t>Rs. '000</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color w:val="000000"/>
                <w:sz w:val="22"/>
                <w:szCs w:val="22"/>
              </w:rPr>
            </w:pPr>
            <w:r>
              <w:rPr>
                <w:color w:val="000000"/>
                <w:sz w:val="22"/>
                <w:szCs w:val="22"/>
              </w:rPr>
              <w:t>2019</w:t>
            </w:r>
            <w:r>
              <w:rPr>
                <w:color w:val="000000"/>
                <w:sz w:val="22"/>
                <w:szCs w:val="22"/>
              </w:rPr>
              <w:br/>
              <w:t>Rs. '000</w:t>
            </w: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color w:val="000000"/>
                <w:sz w:val="22"/>
                <w:szCs w:val="22"/>
              </w:rPr>
            </w:pPr>
            <w:r>
              <w:rPr>
                <w:color w:val="000000"/>
                <w:sz w:val="22"/>
                <w:szCs w:val="22"/>
              </w:rPr>
              <w:t xml:space="preserve"> Change</w:t>
            </w:r>
            <w:r>
              <w:rPr>
                <w:color w:val="000000"/>
                <w:sz w:val="22"/>
                <w:szCs w:val="22"/>
              </w:rPr>
              <w:br/>
              <w:t xml:space="preserve">%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1057"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jc w:val="center"/>
              <w:rPr>
                <w:color w:val="000000"/>
                <w:sz w:val="22"/>
                <w:szCs w:val="22"/>
              </w:rPr>
            </w:pPr>
          </w:p>
        </w:tc>
        <w:tc>
          <w:tcPr>
            <w:tcW w:w="1057"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b/>
                <w:bCs/>
                <w:color w:val="000000"/>
                <w:sz w:val="22"/>
                <w:szCs w:val="22"/>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jc w:val="center"/>
              <w:rPr>
                <w:color w:val="000000"/>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 xml:space="preserve">Profit for the year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2,942,508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4,416,121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(33.37)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3,591,749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5,011,268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(28.33)</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Other comprehensive income, net of tax</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600"/>
        </w:trPr>
        <w:tc>
          <w:tcPr>
            <w:tcW w:w="4924"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rPr>
                <w:b/>
                <w:bCs/>
                <w:i/>
                <w:iCs/>
                <w:color w:val="000000"/>
                <w:sz w:val="22"/>
                <w:szCs w:val="22"/>
              </w:rPr>
            </w:pPr>
            <w:r>
              <w:rPr>
                <w:b/>
                <w:bCs/>
                <w:i/>
                <w:iCs/>
                <w:color w:val="000000"/>
                <w:sz w:val="22"/>
                <w:szCs w:val="22"/>
              </w:rPr>
              <w:t>Items to be reclassified to profit or loss in subsequent years (net of tax):</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300"/>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600"/>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r>
              <w:rPr>
                <w:color w:val="000000"/>
                <w:sz w:val="22"/>
                <w:szCs w:val="22"/>
              </w:rPr>
              <w:t>Net gains/(losses) arising from translating the Financial Statements of the foreign subsidiary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r>
              <w:rPr>
                <w:b/>
                <w:bCs/>
                <w:sz w:val="22"/>
                <w:szCs w:val="22"/>
              </w:rPr>
              <w:t xml:space="preserve">     139,129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r>
              <w:rPr>
                <w:sz w:val="22"/>
                <w:szCs w:val="22"/>
              </w:rPr>
              <w:t xml:space="preserve">      259,151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(46.31)</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630"/>
        </w:trPr>
        <w:tc>
          <w:tcPr>
            <w:tcW w:w="4924"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Net items to be reclassified to profit or loss in subsequent years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139,129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259,151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(46.31)</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600"/>
        </w:trPr>
        <w:tc>
          <w:tcPr>
            <w:tcW w:w="4924"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rPr>
                <w:b/>
                <w:bCs/>
                <w:i/>
                <w:iCs/>
                <w:color w:val="000000"/>
                <w:sz w:val="22"/>
                <w:szCs w:val="22"/>
              </w:rPr>
            </w:pPr>
            <w:r>
              <w:rPr>
                <w:b/>
                <w:bCs/>
                <w:i/>
                <w:iCs/>
                <w:color w:val="000000"/>
                <w:sz w:val="22"/>
                <w:szCs w:val="22"/>
              </w:rPr>
              <w:t>Items not to be reclassified to profit or loss in subsequent years (net of tax):</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300"/>
        </w:trPr>
        <w:tc>
          <w:tcPr>
            <w:tcW w:w="4924"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Net actuarial gains/(losses) on defined benefit plans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435"/>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r>
              <w:rPr>
                <w:color w:val="000000"/>
                <w:sz w:val="22"/>
                <w:szCs w:val="22"/>
              </w:rPr>
              <w:t>Actuarial gains and losses on retirement benefit obligation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172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(17,909)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(100.96)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r>
              <w:rPr>
                <w:b/>
                <w:bCs/>
                <w:sz w:val="22"/>
                <w:szCs w:val="22"/>
              </w:rPr>
              <w:t xml:space="preserve">         1,225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(20,872)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(105.87)</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r>
              <w:rPr>
                <w:color w:val="000000"/>
                <w:sz w:val="22"/>
                <w:szCs w:val="22"/>
              </w:rPr>
              <w:t>Deferred tax effect on actuarial gains and losses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5,670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(100.86)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r>
              <w:rPr>
                <w:b/>
                <w:bCs/>
                <w:sz w:val="22"/>
                <w:szCs w:val="22"/>
              </w:rPr>
              <w:t xml:space="preserve">            (91)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14,028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(100.65)</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600"/>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r>
              <w:rPr>
                <w:color w:val="000000"/>
                <w:sz w:val="22"/>
                <w:szCs w:val="22"/>
              </w:rPr>
              <w:t>Financial assets - Fair value through other comprehensive income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360"/>
        </w:trPr>
        <w:tc>
          <w:tcPr>
            <w:tcW w:w="4924" w:type="dxa"/>
            <w:tcBorders>
              <w:top w:val="nil"/>
              <w:left w:val="nil"/>
              <w:bottom w:val="nil"/>
              <w:right w:val="nil"/>
            </w:tcBorders>
            <w:shd w:val="clear" w:color="auto" w:fill="auto"/>
            <w:tcMar>
              <w:top w:w="15" w:type="dxa"/>
              <w:left w:w="15" w:type="dxa"/>
              <w:bottom w:w="0" w:type="dxa"/>
              <w:right w:w="15" w:type="dxa"/>
            </w:tcMar>
            <w:hideMark/>
          </w:tcPr>
          <w:p w:rsidR="008470C8" w:rsidRDefault="008470C8">
            <w:pPr>
              <w:rPr>
                <w:color w:val="000000"/>
                <w:sz w:val="22"/>
                <w:szCs w:val="22"/>
              </w:rPr>
            </w:pPr>
            <w:r>
              <w:rPr>
                <w:color w:val="000000"/>
                <w:sz w:val="22"/>
                <w:szCs w:val="22"/>
              </w:rPr>
              <w:t>Gains/(losses) on re-measuring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r>
              <w:rPr>
                <w:b/>
                <w:bCs/>
                <w:sz w:val="22"/>
                <w:szCs w:val="22"/>
              </w:rPr>
              <w:t xml:space="preserve">     (49,372)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r>
              <w:rPr>
                <w:sz w:val="22"/>
                <w:szCs w:val="22"/>
              </w:rPr>
              <w:t xml:space="preserve">      (99,611)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50.44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sz w:val="22"/>
                <w:szCs w:val="22"/>
              </w:rPr>
            </w:pPr>
            <w:r>
              <w:rPr>
                <w:b/>
                <w:bCs/>
                <w:sz w:val="22"/>
                <w:szCs w:val="22"/>
              </w:rPr>
              <w:t xml:space="preserve">     (61,300)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r>
              <w:rPr>
                <w:sz w:val="22"/>
                <w:szCs w:val="22"/>
              </w:rPr>
              <w:t xml:space="preserve">    (100,290)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38.88 </w:t>
            </w:r>
          </w:p>
        </w:tc>
        <w:tc>
          <w:tcPr>
            <w:tcW w:w="0" w:type="auto"/>
            <w:vAlign w:val="bottom"/>
            <w:hideMark/>
          </w:tcPr>
          <w:p w:rsidR="008470C8" w:rsidRDefault="008470C8" w:rsidP="008470C8">
            <w:pPr>
              <w:jc w:val="right"/>
              <w:rPr>
                <w:sz w:val="20"/>
                <w:szCs w:val="20"/>
              </w:rPr>
            </w:pPr>
          </w:p>
        </w:tc>
      </w:tr>
      <w:tr w:rsidR="008470C8" w:rsidTr="008470C8">
        <w:trPr>
          <w:trHeight w:val="585"/>
        </w:trPr>
        <w:tc>
          <w:tcPr>
            <w:tcW w:w="4924" w:type="dxa"/>
            <w:tcBorders>
              <w:top w:val="nil"/>
              <w:left w:val="nil"/>
              <w:bottom w:val="nil"/>
              <w:right w:val="nil"/>
            </w:tcBorders>
            <w:shd w:val="clear" w:color="auto" w:fill="auto"/>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Net items not to be reclassified to profit or loss in subsequent years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(49,249)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(111,850)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55.97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(60,166)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(107,134)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43.84 </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Other comprehensive income for the year, net of tax</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(49,249)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(111,850)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55.97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78,963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152,017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(48.06)</w:t>
            </w:r>
          </w:p>
        </w:tc>
        <w:tc>
          <w:tcPr>
            <w:tcW w:w="0" w:type="auto"/>
            <w:vAlign w:val="bottom"/>
            <w:hideMark/>
          </w:tcPr>
          <w:p w:rsidR="008470C8" w:rsidRDefault="008470C8" w:rsidP="008470C8">
            <w:pPr>
              <w:jc w:val="right"/>
              <w:rPr>
                <w:sz w:val="20"/>
                <w:szCs w:val="20"/>
              </w:rPr>
            </w:pPr>
          </w:p>
        </w:tc>
      </w:tr>
      <w:tr w:rsidR="008470C8" w:rsidTr="008470C8">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lastRenderedPageBreak/>
              <w:t>Total comprehensive income for the year</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2,893,259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4,304,271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(32.78)</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3,670,712 </w:t>
            </w:r>
          </w:p>
        </w:tc>
        <w:tc>
          <w:tcPr>
            <w:tcW w:w="0" w:type="auto"/>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5,163,285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(28.91)</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 xml:space="preserve">Attributable to: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r>
              <w:rPr>
                <w:color w:val="000000"/>
                <w:sz w:val="22"/>
                <w:szCs w:val="22"/>
              </w:rPr>
              <w:t>Equity holders of the Company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(49,249)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(111,850)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55.97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82,278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152,757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(46.14)</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r>
              <w:rPr>
                <w:color w:val="000000"/>
                <w:sz w:val="22"/>
                <w:szCs w:val="22"/>
              </w:rPr>
              <w:t>Non-controlling interest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(3,315)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(740)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347.97 </w:t>
            </w:r>
          </w:p>
        </w:tc>
        <w:tc>
          <w:tcPr>
            <w:tcW w:w="0" w:type="auto"/>
            <w:vAlign w:val="bottom"/>
            <w:hideMark/>
          </w:tcPr>
          <w:p w:rsidR="008470C8" w:rsidRDefault="008470C8" w:rsidP="008470C8">
            <w:pPr>
              <w:jc w:val="right"/>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color w:val="000000"/>
                <w:sz w:val="22"/>
                <w:szCs w:val="22"/>
              </w:rPr>
            </w:pPr>
            <w:r>
              <w:rPr>
                <w:color w:val="000000"/>
                <w:sz w:val="22"/>
                <w:szCs w:val="22"/>
              </w:rPr>
              <w:t>Other comprehensive income for the year, net of tax</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(49,249)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(111,850)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55.97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78,963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152,017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(48.06)</w:t>
            </w:r>
          </w:p>
        </w:tc>
        <w:tc>
          <w:tcPr>
            <w:tcW w:w="0" w:type="auto"/>
            <w:vAlign w:val="bottom"/>
            <w:hideMark/>
          </w:tcPr>
          <w:p w:rsidR="008470C8" w:rsidRDefault="008470C8" w:rsidP="008470C8">
            <w:pPr>
              <w:jc w:val="right"/>
              <w:rPr>
                <w:sz w:val="20"/>
                <w:szCs w:val="20"/>
              </w:rPr>
            </w:pPr>
          </w:p>
        </w:tc>
      </w:tr>
      <w:tr w:rsidR="008470C8" w:rsidTr="008470C8">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70C8" w:rsidRDefault="008470C8">
            <w:pPr>
              <w:rPr>
                <w:b/>
                <w:bCs/>
                <w:color w:val="000000"/>
                <w:sz w:val="22"/>
                <w:szCs w:val="22"/>
              </w:rPr>
            </w:pPr>
            <w:r>
              <w:rPr>
                <w:b/>
                <w:bCs/>
                <w:color w:val="000000"/>
                <w:sz w:val="22"/>
                <w:szCs w:val="22"/>
              </w:rPr>
              <w:t>Total comprehensive income for the year</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2,893,259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4,304,271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(32.78)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b/>
                <w:bCs/>
                <w:color w:val="000000"/>
                <w:sz w:val="22"/>
                <w:szCs w:val="22"/>
              </w:rPr>
            </w:pPr>
            <w:r>
              <w:rPr>
                <w:b/>
                <w:bCs/>
                <w:color w:val="000000"/>
                <w:sz w:val="22"/>
                <w:szCs w:val="22"/>
              </w:rPr>
              <w:t xml:space="preserve">  3,670,712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5,163,285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470C8" w:rsidRDefault="008470C8" w:rsidP="008470C8">
            <w:pPr>
              <w:jc w:val="right"/>
              <w:rPr>
                <w:color w:val="000000"/>
                <w:sz w:val="22"/>
                <w:szCs w:val="22"/>
              </w:rPr>
            </w:pPr>
            <w:r>
              <w:rPr>
                <w:color w:val="000000"/>
                <w:sz w:val="22"/>
                <w:szCs w:val="22"/>
              </w:rPr>
              <w:t xml:space="preserve">    (28.91)</w:t>
            </w:r>
          </w:p>
        </w:tc>
        <w:tc>
          <w:tcPr>
            <w:tcW w:w="0" w:type="auto"/>
            <w:vAlign w:val="bottom"/>
            <w:hideMark/>
          </w:tcPr>
          <w:p w:rsidR="008470C8" w:rsidRDefault="008470C8" w:rsidP="008470C8">
            <w:pPr>
              <w:jc w:val="right"/>
              <w:rPr>
                <w:sz w:val="20"/>
                <w:szCs w:val="20"/>
              </w:rPr>
            </w:pPr>
          </w:p>
        </w:tc>
      </w:tr>
    </w:tbl>
    <w:p w:rsidR="008470C8" w:rsidRDefault="008470C8" w:rsidP="0032208C">
      <w:r>
        <w:t xml:space="preserve"> </w:t>
      </w:r>
    </w:p>
    <w:p w:rsidR="008470C8" w:rsidRDefault="008470C8">
      <w:r>
        <w:br w:type="page"/>
      </w:r>
    </w:p>
    <w:tbl>
      <w:tblPr>
        <w:tblW w:w="13866" w:type="dxa"/>
        <w:tblCellMar>
          <w:left w:w="0" w:type="dxa"/>
          <w:right w:w="0" w:type="dxa"/>
        </w:tblCellMar>
        <w:tblLook w:val="04A0"/>
      </w:tblPr>
      <w:tblGrid>
        <w:gridCol w:w="3944"/>
        <w:gridCol w:w="1409"/>
        <w:gridCol w:w="1409"/>
        <w:gridCol w:w="1480"/>
        <w:gridCol w:w="1464"/>
        <w:gridCol w:w="1540"/>
        <w:gridCol w:w="1520"/>
        <w:gridCol w:w="1100"/>
      </w:tblGrid>
      <w:tr w:rsidR="008470C8" w:rsidTr="008470C8">
        <w:trPr>
          <w:trHeight w:val="405"/>
        </w:trPr>
        <w:tc>
          <w:tcPr>
            <w:tcW w:w="6762" w:type="dxa"/>
            <w:gridSpan w:val="3"/>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32"/>
                <w:szCs w:val="32"/>
              </w:rPr>
            </w:pPr>
            <w:bookmarkStart w:id="1" w:name="RANGE!A2:H73"/>
            <w:bookmarkStart w:id="2" w:name="RANGE!A2"/>
            <w:bookmarkEnd w:id="1"/>
            <w:r>
              <w:rPr>
                <w:sz w:val="32"/>
                <w:szCs w:val="32"/>
              </w:rPr>
              <w:lastRenderedPageBreak/>
              <w:t xml:space="preserve">STATEMENT OF FINANCIAL POSITION </w:t>
            </w:r>
            <w:bookmarkEnd w:id="2"/>
          </w:p>
        </w:tc>
        <w:tc>
          <w:tcPr>
            <w:tcW w:w="1480" w:type="dxa"/>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1464" w:type="dxa"/>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1540" w:type="dxa"/>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1520" w:type="dxa"/>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1100" w:type="dxa"/>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4298" w:type="dxa"/>
            <w:gridSpan w:val="3"/>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b/>
                <w:bCs/>
                <w:sz w:val="22"/>
                <w:szCs w:val="22"/>
              </w:rPr>
            </w:pPr>
            <w:r>
              <w:rPr>
                <w:b/>
                <w:bCs/>
                <w:sz w:val="22"/>
                <w:szCs w:val="22"/>
              </w:rPr>
              <w:t xml:space="preserve">Company </w:t>
            </w:r>
          </w:p>
        </w:tc>
        <w:tc>
          <w:tcPr>
            <w:tcW w:w="4524" w:type="dxa"/>
            <w:gridSpan w:val="3"/>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b/>
                <w:bCs/>
                <w:sz w:val="22"/>
                <w:szCs w:val="22"/>
              </w:rPr>
            </w:pPr>
            <w:r>
              <w:rPr>
                <w:b/>
                <w:bCs/>
                <w:sz w:val="22"/>
                <w:szCs w:val="22"/>
              </w:rPr>
              <w:t xml:space="preserve">Group </w:t>
            </w:r>
          </w:p>
        </w:tc>
        <w:tc>
          <w:tcPr>
            <w:tcW w:w="0" w:type="auto"/>
            <w:vAlign w:val="center"/>
            <w:hideMark/>
          </w:tcPr>
          <w:p w:rsidR="008470C8" w:rsidRDefault="008470C8">
            <w:pPr>
              <w:rPr>
                <w:sz w:val="20"/>
                <w:szCs w:val="20"/>
              </w:rPr>
            </w:pPr>
          </w:p>
        </w:tc>
      </w:tr>
      <w:tr w:rsidR="008470C8" w:rsidTr="008470C8">
        <w:trPr>
          <w:trHeight w:val="600"/>
        </w:trPr>
        <w:tc>
          <w:tcPr>
            <w:tcW w:w="0" w:type="auto"/>
            <w:tcBorders>
              <w:top w:val="nil"/>
              <w:left w:val="nil"/>
              <w:bottom w:val="nil"/>
              <w:right w:val="nil"/>
            </w:tcBorders>
            <w:shd w:val="clear" w:color="auto" w:fill="auto"/>
            <w:noWrap/>
            <w:tcMar>
              <w:top w:w="17" w:type="dxa"/>
              <w:left w:w="17" w:type="dxa"/>
              <w:bottom w:w="0" w:type="dxa"/>
              <w:right w:w="17" w:type="dxa"/>
            </w:tcMar>
            <w:hideMark/>
          </w:tcPr>
          <w:p w:rsidR="008470C8" w:rsidRDefault="008470C8">
            <w:pPr>
              <w:rPr>
                <w:sz w:val="22"/>
                <w:szCs w:val="22"/>
              </w:rPr>
            </w:pPr>
            <w:r>
              <w:rPr>
                <w:sz w:val="22"/>
                <w:szCs w:val="22"/>
              </w:rPr>
              <w:t>As at 31st March</w:t>
            </w:r>
          </w:p>
        </w:tc>
        <w:tc>
          <w:tcPr>
            <w:tcW w:w="1409"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b/>
                <w:bCs/>
                <w:sz w:val="22"/>
                <w:szCs w:val="22"/>
              </w:rPr>
            </w:pPr>
            <w:r>
              <w:rPr>
                <w:b/>
                <w:bCs/>
                <w:sz w:val="22"/>
                <w:szCs w:val="22"/>
              </w:rPr>
              <w:t xml:space="preserve"> 2020</w:t>
            </w:r>
            <w:r>
              <w:rPr>
                <w:b/>
                <w:bCs/>
                <w:sz w:val="22"/>
                <w:szCs w:val="22"/>
              </w:rPr>
              <w:br/>
              <w:t xml:space="preserve">Rs. '000 </w:t>
            </w:r>
          </w:p>
        </w:tc>
        <w:tc>
          <w:tcPr>
            <w:tcW w:w="1409"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sz w:val="22"/>
                <w:szCs w:val="22"/>
              </w:rPr>
            </w:pPr>
            <w:r>
              <w:rPr>
                <w:sz w:val="22"/>
                <w:szCs w:val="22"/>
              </w:rPr>
              <w:t xml:space="preserve"> 2019</w:t>
            </w:r>
            <w:r>
              <w:rPr>
                <w:sz w:val="22"/>
                <w:szCs w:val="22"/>
              </w:rPr>
              <w:br/>
              <w:t xml:space="preserve">Rs. '000 </w:t>
            </w:r>
          </w:p>
        </w:tc>
        <w:tc>
          <w:tcPr>
            <w:tcW w:w="1480"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color w:val="000000"/>
                <w:sz w:val="22"/>
                <w:szCs w:val="22"/>
              </w:rPr>
            </w:pPr>
            <w:r>
              <w:rPr>
                <w:color w:val="000000"/>
                <w:sz w:val="22"/>
                <w:szCs w:val="22"/>
              </w:rPr>
              <w:t xml:space="preserve"> Change</w:t>
            </w:r>
            <w:r>
              <w:rPr>
                <w:color w:val="000000"/>
                <w:sz w:val="22"/>
                <w:szCs w:val="22"/>
              </w:rPr>
              <w:br/>
              <w:t xml:space="preserve">% </w:t>
            </w:r>
          </w:p>
        </w:tc>
        <w:tc>
          <w:tcPr>
            <w:tcW w:w="146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b/>
                <w:bCs/>
                <w:sz w:val="22"/>
                <w:szCs w:val="22"/>
              </w:rPr>
            </w:pPr>
            <w:r>
              <w:rPr>
                <w:b/>
                <w:bCs/>
                <w:sz w:val="22"/>
                <w:szCs w:val="22"/>
              </w:rPr>
              <w:t xml:space="preserve"> 2020</w:t>
            </w:r>
            <w:r>
              <w:rPr>
                <w:b/>
                <w:bCs/>
                <w:sz w:val="22"/>
                <w:szCs w:val="22"/>
              </w:rPr>
              <w:br/>
              <w:t xml:space="preserve">Rs. '000 </w:t>
            </w:r>
          </w:p>
        </w:tc>
        <w:tc>
          <w:tcPr>
            <w:tcW w:w="1540"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sz w:val="22"/>
                <w:szCs w:val="22"/>
              </w:rPr>
            </w:pPr>
            <w:r>
              <w:rPr>
                <w:sz w:val="22"/>
                <w:szCs w:val="22"/>
              </w:rPr>
              <w:t xml:space="preserve"> 2019</w:t>
            </w:r>
            <w:r>
              <w:rPr>
                <w:sz w:val="22"/>
                <w:szCs w:val="22"/>
              </w:rPr>
              <w:br/>
              <w:t xml:space="preserve">Rs. '000 </w:t>
            </w:r>
          </w:p>
        </w:tc>
        <w:tc>
          <w:tcPr>
            <w:tcW w:w="1520"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color w:val="000000"/>
                <w:sz w:val="22"/>
                <w:szCs w:val="22"/>
              </w:rPr>
            </w:pPr>
            <w:r>
              <w:rPr>
                <w:color w:val="000000"/>
                <w:sz w:val="22"/>
                <w:szCs w:val="22"/>
              </w:rPr>
              <w:t xml:space="preserve"> Change</w:t>
            </w:r>
            <w:r>
              <w:rPr>
                <w:color w:val="000000"/>
                <w:sz w:val="22"/>
                <w:szCs w:val="22"/>
              </w:rPr>
              <w:br/>
              <w:t xml:space="preserve">%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1409"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b/>
                <w:bCs/>
                <w:sz w:val="22"/>
                <w:szCs w:val="22"/>
              </w:rPr>
            </w:pPr>
          </w:p>
        </w:tc>
        <w:tc>
          <w:tcPr>
            <w:tcW w:w="1409"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sz w:val="22"/>
                <w:szCs w:val="22"/>
              </w:rPr>
            </w:pPr>
          </w:p>
        </w:tc>
        <w:tc>
          <w:tcPr>
            <w:tcW w:w="1480"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sz w:val="22"/>
                <w:szCs w:val="22"/>
              </w:rPr>
            </w:pPr>
          </w:p>
        </w:tc>
        <w:tc>
          <w:tcPr>
            <w:tcW w:w="146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b/>
                <w:bCs/>
                <w:sz w:val="22"/>
                <w:szCs w:val="22"/>
              </w:rPr>
            </w:pPr>
          </w:p>
        </w:tc>
        <w:tc>
          <w:tcPr>
            <w:tcW w:w="1540"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sz w:val="22"/>
                <w:szCs w:val="22"/>
              </w:rPr>
            </w:pPr>
          </w:p>
        </w:tc>
        <w:tc>
          <w:tcPr>
            <w:tcW w:w="1520"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jc w:val="cente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 xml:space="preserve">Assets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Cash and cash equivalents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7,164,139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3,294,055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117.49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7,693,032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4,310,595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78.47 </w:t>
            </w: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Balances with banks &amp; financial institutions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3,207,440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3,404,533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(5.79)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6,661,407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7,375,423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(9.68)</w:t>
            </w:r>
          </w:p>
        </w:tc>
        <w:tc>
          <w:tcPr>
            <w:tcW w:w="0" w:type="auto"/>
            <w:vAlign w:val="center"/>
            <w:hideMark/>
          </w:tcPr>
          <w:p w:rsidR="008470C8" w:rsidRDefault="008470C8">
            <w:pPr>
              <w:rPr>
                <w:sz w:val="20"/>
                <w:szCs w:val="20"/>
              </w:rPr>
            </w:pPr>
          </w:p>
        </w:tc>
      </w:tr>
      <w:tr w:rsidR="008470C8" w:rsidTr="008470C8">
        <w:trPr>
          <w:trHeight w:val="36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Financial assets -Fair value through profit or loss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1,031,719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23,190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4,348.98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1,198,592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72,386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1,555.83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Loans and receivables - </w:t>
            </w:r>
            <w:proofErr w:type="spellStart"/>
            <w:r>
              <w:rPr>
                <w:sz w:val="22"/>
                <w:szCs w:val="22"/>
              </w:rPr>
              <w:t>Amortised</w:t>
            </w:r>
            <w:proofErr w:type="spellEnd"/>
            <w:r>
              <w:rPr>
                <w:sz w:val="22"/>
                <w:szCs w:val="22"/>
              </w:rPr>
              <w:t xml:space="preserve"> cost</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147,747,511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151,707,902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(2.61)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154,134,934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156,955,837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(1.80)</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Insurance and reinsurance receivables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1,194,933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885,395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34.96 </w:t>
            </w:r>
          </w:p>
        </w:tc>
        <w:tc>
          <w:tcPr>
            <w:tcW w:w="0" w:type="auto"/>
            <w:vAlign w:val="center"/>
            <w:hideMark/>
          </w:tcPr>
          <w:p w:rsidR="008470C8" w:rsidRDefault="008470C8">
            <w:pPr>
              <w:rPr>
                <w:sz w:val="20"/>
                <w:szCs w:val="20"/>
              </w:rPr>
            </w:pPr>
          </w:p>
        </w:tc>
      </w:tr>
      <w:tr w:rsidR="008470C8" w:rsidTr="008470C8">
        <w:trPr>
          <w:trHeight w:val="60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Financial assets - Fair value through other comprehensive income</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324,381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125,651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158.16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1,455,702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125,651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1,058.53 </w:t>
            </w: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 xml:space="preserve">Debt instrument - </w:t>
            </w:r>
            <w:proofErr w:type="spellStart"/>
            <w:r>
              <w:rPr>
                <w:sz w:val="22"/>
                <w:szCs w:val="22"/>
              </w:rPr>
              <w:t>Amortised</w:t>
            </w:r>
            <w:proofErr w:type="spellEnd"/>
            <w:r>
              <w:rPr>
                <w:sz w:val="22"/>
                <w:szCs w:val="22"/>
              </w:rPr>
              <w:t xml:space="preserve"> cost</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4,106,963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8,002,625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(48.68)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4,813,439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9,091,945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(47.06)</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Investments in subsidiaries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3,213,788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3,213,788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Investments in associate</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237,633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(100.00)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237,633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(100.00)</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Investment property</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1,131,652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1,131,596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0.00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Property, plant and equipment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1,143,929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1,098,286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4.16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3,998,370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4,017,301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(0.47)</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Goodwill and intangible assets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257,581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324,905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(20.72)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368,574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432,340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(14.75)</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Right to use assets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1,939,450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84,065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2,207.08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1,639,482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84,065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1,850.26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Deferred tax assets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376,291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100.00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471,841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47,584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891.60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Other assets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1,147,001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1,024,644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11.94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1,235,329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1,164,884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6.05 </w:t>
            </w:r>
          </w:p>
        </w:tc>
        <w:tc>
          <w:tcPr>
            <w:tcW w:w="0" w:type="auto"/>
            <w:vAlign w:val="center"/>
            <w:hideMark/>
          </w:tcPr>
          <w:p w:rsidR="008470C8" w:rsidRDefault="008470C8">
            <w:pPr>
              <w:rPr>
                <w:sz w:val="20"/>
                <w:szCs w:val="20"/>
              </w:rPr>
            </w:pPr>
          </w:p>
        </w:tc>
      </w:tr>
      <w:tr w:rsidR="008470C8" w:rsidTr="008470C8">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 xml:space="preserve">Total assets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171,660,193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172,541,277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(0.51)</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185,997,287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185,932,635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0.03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171,660,193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172,541,277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185,997,287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185,932,635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color w:val="FFFFFF"/>
                <w:sz w:val="22"/>
                <w:szCs w:val="22"/>
              </w:rPr>
            </w:pPr>
            <w:r>
              <w:rPr>
                <w:b/>
                <w:bCs/>
                <w:color w:val="FFFFFF"/>
                <w:sz w:val="22"/>
                <w:szCs w:val="22"/>
              </w:rPr>
              <w:t xml:space="preserve">Liabilities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r>
              <w:rPr>
                <w:b/>
                <w:bCs/>
                <w:color w:val="FFFFFF"/>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 xml:space="preserve">Liabilities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color w:val="FFFFFF"/>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Due to banks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7,938,185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27,273,933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(70.89)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10,978,046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30,475,326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(63.98)</w:t>
            </w: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 xml:space="preserve">Due to customers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106,701,027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88,368,656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20.75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107,685,592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88,923,196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21.10 </w:t>
            </w: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Debt securities issued</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18,479,260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21,275,031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(13.14)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18,338,039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21,134,040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(13.23)</w:t>
            </w: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sz w:val="22"/>
                <w:szCs w:val="22"/>
              </w:rPr>
            </w:pPr>
            <w:r>
              <w:rPr>
                <w:sz w:val="22"/>
                <w:szCs w:val="22"/>
              </w:rPr>
              <w:t xml:space="preserve">Other financial liabilities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3,014,117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2,480,377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21.52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2,829,708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2,464,936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14.80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Insurance liabilities and reinsurance payable</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5,065,220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4,880,873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3.78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lastRenderedPageBreak/>
              <w:t>Operating lease liabilities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1,909,098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100.00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1,594,245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100.00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Current tax liabilities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1,803,309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2,238,257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(19.43)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2,077,418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2,323,647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(10.60)</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Deferred tax liabilities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837,179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(100.00)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418,132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1,141,973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(63.39)</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Other liabilities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1,568,565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1,464,489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7.11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1,700,685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1,606,686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5.85 </w:t>
            </w:r>
          </w:p>
        </w:tc>
        <w:tc>
          <w:tcPr>
            <w:tcW w:w="0" w:type="auto"/>
            <w:vAlign w:val="center"/>
            <w:hideMark/>
          </w:tcPr>
          <w:p w:rsidR="008470C8" w:rsidRDefault="008470C8">
            <w:pPr>
              <w:rPr>
                <w:sz w:val="20"/>
                <w:szCs w:val="20"/>
              </w:rPr>
            </w:pPr>
          </w:p>
        </w:tc>
      </w:tr>
      <w:tr w:rsidR="008470C8" w:rsidTr="008470C8">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 xml:space="preserve">Total liabilities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141,413,561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143,937,922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(1.75)</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150,687,085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152,950,677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(1.48)</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141,413,539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143,937,928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150,687,086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152,950,677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 xml:space="preserve">Equity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22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r>
              <w:rPr>
                <w:color w:val="FFFFFF"/>
                <w:sz w:val="22"/>
                <w:szCs w:val="22"/>
              </w:rPr>
              <w:t xml:space="preserve">                   -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FFFFFF"/>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Stated capital</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13,915,414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13,236,073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5.13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13,915,414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13,236,073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5.13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Statutory reserve fund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2,205,344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2,058,219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7.15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2,235,077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2,070,667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7.94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Retained earnings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14,227,988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13,361,805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6.48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16,517,824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15,198,424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8.68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Other reserves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(102,114)</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(52,742)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93.61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285,103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207,274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37.55 </w:t>
            </w:r>
          </w:p>
        </w:tc>
        <w:tc>
          <w:tcPr>
            <w:tcW w:w="0" w:type="auto"/>
            <w:vAlign w:val="center"/>
            <w:hideMark/>
          </w:tcPr>
          <w:p w:rsidR="008470C8" w:rsidRDefault="008470C8">
            <w:pPr>
              <w:rPr>
                <w:sz w:val="20"/>
                <w:szCs w:val="20"/>
              </w:rPr>
            </w:pPr>
          </w:p>
        </w:tc>
      </w:tr>
      <w:tr w:rsidR="008470C8" w:rsidTr="008470C8">
        <w:trPr>
          <w:trHeight w:val="585"/>
        </w:trPr>
        <w:tc>
          <w:tcPr>
            <w:tcW w:w="3944" w:type="dxa"/>
            <w:tcBorders>
              <w:top w:val="nil"/>
              <w:left w:val="nil"/>
              <w:bottom w:val="nil"/>
              <w:right w:val="nil"/>
            </w:tcBorders>
            <w:shd w:val="clear" w:color="auto" w:fill="auto"/>
            <w:tcMar>
              <w:top w:w="17" w:type="dxa"/>
              <w:left w:w="17" w:type="dxa"/>
              <w:bottom w:w="0" w:type="dxa"/>
              <w:right w:w="17" w:type="dxa"/>
            </w:tcMar>
            <w:vAlign w:val="bottom"/>
            <w:hideMark/>
          </w:tcPr>
          <w:p w:rsidR="008470C8" w:rsidRDefault="008470C8">
            <w:pPr>
              <w:rPr>
                <w:b/>
                <w:bCs/>
                <w:sz w:val="22"/>
                <w:szCs w:val="22"/>
              </w:rPr>
            </w:pPr>
            <w:r>
              <w:rPr>
                <w:b/>
                <w:bCs/>
                <w:sz w:val="22"/>
                <w:szCs w:val="22"/>
              </w:rPr>
              <w:t>Total equity attributable to equity holders of the Company</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30,246,632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28,603,355 </w:t>
            </w:r>
          </w:p>
        </w:tc>
        <w:tc>
          <w:tcPr>
            <w:tcW w:w="0" w:type="auto"/>
            <w:tcBorders>
              <w:top w:val="single" w:sz="4" w:space="0" w:color="auto"/>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5.75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32,953,418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30,712,438 </w:t>
            </w:r>
          </w:p>
        </w:tc>
        <w:tc>
          <w:tcPr>
            <w:tcW w:w="0" w:type="auto"/>
            <w:tcBorders>
              <w:top w:val="single" w:sz="4" w:space="0" w:color="auto"/>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7.30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Non-controlling interest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2,356,784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2,269,520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color w:val="000000"/>
                <w:sz w:val="22"/>
                <w:szCs w:val="22"/>
              </w:rPr>
            </w:pPr>
            <w:r>
              <w:rPr>
                <w:color w:val="000000"/>
                <w:sz w:val="22"/>
                <w:szCs w:val="22"/>
              </w:rPr>
              <w:t xml:space="preserve">         3.85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 xml:space="preserve">Total equity  </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30,246,632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28,603,355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5.75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35,310,202 </w:t>
            </w:r>
          </w:p>
        </w:tc>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32,981,958 </w:t>
            </w:r>
          </w:p>
        </w:tc>
        <w:tc>
          <w:tcPr>
            <w:tcW w:w="0" w:type="auto"/>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7.06 </w:t>
            </w:r>
          </w:p>
        </w:tc>
        <w:tc>
          <w:tcPr>
            <w:tcW w:w="0" w:type="auto"/>
            <w:vAlign w:val="center"/>
            <w:hideMark/>
          </w:tcPr>
          <w:p w:rsidR="008470C8" w:rsidRDefault="008470C8">
            <w:pPr>
              <w:rPr>
                <w:sz w:val="20"/>
                <w:szCs w:val="20"/>
              </w:rPr>
            </w:pPr>
          </w:p>
        </w:tc>
      </w:tr>
      <w:tr w:rsidR="008470C8" w:rsidTr="008470C8">
        <w:trPr>
          <w:trHeight w:val="315"/>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Total liabilities and equity</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171,660,193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172,541,277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(0.51)</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185,997,287 </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185,932,635 </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0.03 </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center"/>
            <w:hideMark/>
          </w:tcPr>
          <w:p w:rsidR="008470C8" w:rsidRDefault="008470C8">
            <w:pPr>
              <w:rPr>
                <w:b/>
                <w:bCs/>
                <w:sz w:val="22"/>
                <w:szCs w:val="22"/>
              </w:rPr>
            </w:pPr>
            <w:r>
              <w:rPr>
                <w:b/>
                <w:bCs/>
                <w:sz w:val="22"/>
                <w:szCs w:val="22"/>
              </w:rPr>
              <w:t xml:space="preserve">Contingent liabilities and commitments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5,316,892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7,775,864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(31.62)</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5,350,615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7,788,708 </w:t>
            </w:r>
          </w:p>
        </w:tc>
        <w:tc>
          <w:tcPr>
            <w:tcW w:w="0" w:type="auto"/>
            <w:tcBorders>
              <w:top w:val="single" w:sz="4" w:space="0" w:color="auto"/>
              <w:left w:val="nil"/>
              <w:bottom w:val="single" w:sz="8" w:space="0" w:color="auto"/>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(31.30)</w:t>
            </w: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center"/>
            <w:hideMark/>
          </w:tcPr>
          <w:p w:rsidR="008470C8" w:rsidRDefault="008470C8">
            <w:pPr>
              <w:rPr>
                <w:b/>
                <w:bCs/>
                <w:sz w:val="22"/>
                <w:szCs w:val="22"/>
              </w:rPr>
            </w:pPr>
            <w:r>
              <w:rPr>
                <w:b/>
                <w:bCs/>
                <w:sz w:val="22"/>
                <w:szCs w:val="22"/>
              </w:rPr>
              <w:t>Net asset value per ordinary share (Rs.)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18.58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18.10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2.64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b/>
                <w:bCs/>
                <w:sz w:val="22"/>
                <w:szCs w:val="22"/>
              </w:rPr>
            </w:pPr>
            <w:r>
              <w:rPr>
                <w:b/>
                <w:bCs/>
                <w:sz w:val="22"/>
                <w:szCs w:val="22"/>
              </w:rPr>
              <w:t xml:space="preserve">              20.25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19.44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rsidP="008470C8">
            <w:pPr>
              <w:jc w:val="right"/>
              <w:rPr>
                <w:sz w:val="22"/>
                <w:szCs w:val="22"/>
              </w:rPr>
            </w:pPr>
            <w:r>
              <w:rPr>
                <w:sz w:val="22"/>
                <w:szCs w:val="22"/>
              </w:rPr>
              <w:t xml:space="preserve">         4.14 </w:t>
            </w:r>
          </w:p>
        </w:tc>
        <w:tc>
          <w:tcPr>
            <w:tcW w:w="0" w:type="auto"/>
            <w:vAlign w:val="center"/>
            <w:hideMark/>
          </w:tcPr>
          <w:p w:rsidR="008470C8" w:rsidRDefault="008470C8">
            <w:pPr>
              <w:rPr>
                <w:sz w:val="20"/>
                <w:szCs w:val="20"/>
              </w:rPr>
            </w:pPr>
          </w:p>
        </w:tc>
      </w:tr>
      <w:tr w:rsidR="008470C8" w:rsidTr="008470C8">
        <w:trPr>
          <w:trHeight w:val="300"/>
        </w:trPr>
        <w:tc>
          <w:tcPr>
            <w:tcW w:w="3944" w:type="dxa"/>
            <w:tcBorders>
              <w:top w:val="nil"/>
              <w:left w:val="nil"/>
              <w:bottom w:val="nil"/>
              <w:right w:val="nil"/>
            </w:tcBorders>
            <w:shd w:val="clear" w:color="auto" w:fill="auto"/>
            <w:tcMar>
              <w:top w:w="17" w:type="dxa"/>
              <w:left w:w="17" w:type="dxa"/>
              <w:bottom w:w="0" w:type="dxa"/>
              <w:right w:w="17" w:type="dxa"/>
            </w:tcMar>
            <w:vAlign w:val="center"/>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center"/>
            <w:hideMark/>
          </w:tcPr>
          <w:p w:rsidR="008470C8" w:rsidRDefault="008470C8">
            <w:pPr>
              <w:rPr>
                <w:sz w:val="22"/>
                <w:szCs w:val="22"/>
              </w:rPr>
            </w:pPr>
          </w:p>
        </w:tc>
        <w:tc>
          <w:tcPr>
            <w:tcW w:w="0" w:type="auto"/>
            <w:vAlign w:val="center"/>
            <w:hideMark/>
          </w:tcPr>
          <w:p w:rsidR="008470C8" w:rsidRDefault="008470C8">
            <w:pPr>
              <w:rPr>
                <w:sz w:val="20"/>
                <w:szCs w:val="20"/>
              </w:rPr>
            </w:pPr>
          </w:p>
        </w:tc>
      </w:tr>
    </w:tbl>
    <w:p w:rsidR="008470C8" w:rsidRDefault="008470C8">
      <w:r>
        <w:br w:type="page"/>
      </w:r>
    </w:p>
    <w:tbl>
      <w:tblPr>
        <w:tblW w:w="13866" w:type="dxa"/>
        <w:tblCellMar>
          <w:left w:w="0" w:type="dxa"/>
          <w:right w:w="0" w:type="dxa"/>
        </w:tblCellMar>
        <w:tblLook w:val="04A0"/>
      </w:tblPr>
      <w:tblGrid>
        <w:gridCol w:w="8320"/>
        <w:gridCol w:w="145"/>
        <w:gridCol w:w="145"/>
        <w:gridCol w:w="145"/>
        <w:gridCol w:w="4778"/>
        <w:gridCol w:w="145"/>
        <w:gridCol w:w="145"/>
        <w:gridCol w:w="43"/>
      </w:tblGrid>
      <w:tr w:rsidR="008470C8" w:rsidTr="008470C8">
        <w:trPr>
          <w:trHeight w:val="300"/>
        </w:trPr>
        <w:tc>
          <w:tcPr>
            <w:tcW w:w="12766" w:type="dxa"/>
            <w:gridSpan w:val="7"/>
            <w:tcBorders>
              <w:top w:val="nil"/>
              <w:left w:val="nil"/>
              <w:bottom w:val="nil"/>
              <w:right w:val="nil"/>
            </w:tcBorders>
            <w:shd w:val="clear" w:color="auto" w:fill="auto"/>
            <w:tcMar>
              <w:top w:w="17" w:type="dxa"/>
              <w:left w:w="17" w:type="dxa"/>
              <w:bottom w:w="0" w:type="dxa"/>
              <w:right w:w="17" w:type="dxa"/>
            </w:tcMar>
            <w:hideMark/>
          </w:tcPr>
          <w:p w:rsidR="008470C8" w:rsidRDefault="008470C8">
            <w:pPr>
              <w:rPr>
                <w:sz w:val="22"/>
                <w:szCs w:val="22"/>
              </w:rPr>
            </w:pPr>
            <w:r>
              <w:rPr>
                <w:sz w:val="22"/>
                <w:szCs w:val="22"/>
              </w:rPr>
              <w:lastRenderedPageBreak/>
              <w:t>We certify that these Financial Statements have been prepared in compliance with the requirements of the Companies Act No. 07 of 2007.</w:t>
            </w: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(sgd.)</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(sgd.)</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roofErr w:type="spellStart"/>
            <w:r>
              <w:rPr>
                <w:b/>
                <w:bCs/>
                <w:sz w:val="22"/>
                <w:szCs w:val="22"/>
              </w:rPr>
              <w:t>Omal</w:t>
            </w:r>
            <w:proofErr w:type="spellEnd"/>
            <w:r>
              <w:rPr>
                <w:b/>
                <w:bCs/>
                <w:sz w:val="22"/>
                <w:szCs w:val="22"/>
              </w:rPr>
              <w:t xml:space="preserve"> </w:t>
            </w:r>
            <w:proofErr w:type="spellStart"/>
            <w:r>
              <w:rPr>
                <w:b/>
                <w:bCs/>
                <w:sz w:val="22"/>
                <w:szCs w:val="22"/>
              </w:rPr>
              <w:t>Sumanasiri</w:t>
            </w:r>
            <w:proofErr w:type="spellEnd"/>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r>
              <w:rPr>
                <w:b/>
                <w:bCs/>
                <w:sz w:val="22"/>
                <w:szCs w:val="22"/>
              </w:rPr>
              <w:t xml:space="preserve"> A.S. Ibrahim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 Chief Manager - Finance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gridSpan w:val="2"/>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 xml:space="preserve"> Chief Executive Officer </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gridSpan w:val="4"/>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The Board of Directors is responsible for these Financial Statements.</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r>
      <w:tr w:rsidR="008470C8" w:rsidTr="008470C8">
        <w:trPr>
          <w:trHeight w:val="300"/>
        </w:trPr>
        <w:tc>
          <w:tcPr>
            <w:tcW w:w="0" w:type="auto"/>
            <w:gridSpan w:val="3"/>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Approved and signed for and on behalf of the Board by;</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(sgd.)</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(sgd.)</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roofErr w:type="spellStart"/>
            <w:r>
              <w:rPr>
                <w:b/>
                <w:bCs/>
                <w:sz w:val="22"/>
                <w:szCs w:val="22"/>
              </w:rPr>
              <w:t>Sujeewa</w:t>
            </w:r>
            <w:proofErr w:type="spellEnd"/>
            <w:r>
              <w:rPr>
                <w:b/>
                <w:bCs/>
                <w:sz w:val="22"/>
                <w:szCs w:val="22"/>
              </w:rPr>
              <w:t xml:space="preserve"> </w:t>
            </w:r>
            <w:proofErr w:type="spellStart"/>
            <w:r>
              <w:rPr>
                <w:b/>
                <w:bCs/>
                <w:sz w:val="22"/>
                <w:szCs w:val="22"/>
              </w:rPr>
              <w:t>Rajapakse</w:t>
            </w:r>
            <w:proofErr w:type="spellEnd"/>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gridSpan w:val="2"/>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roofErr w:type="spellStart"/>
            <w:r>
              <w:rPr>
                <w:b/>
                <w:bCs/>
                <w:sz w:val="22"/>
                <w:szCs w:val="22"/>
              </w:rPr>
              <w:t>Rohan</w:t>
            </w:r>
            <w:proofErr w:type="spellEnd"/>
            <w:r>
              <w:rPr>
                <w:b/>
                <w:bCs/>
                <w:sz w:val="22"/>
                <w:szCs w:val="22"/>
              </w:rPr>
              <w:t xml:space="preserve"> </w:t>
            </w:r>
            <w:proofErr w:type="spellStart"/>
            <w:r>
              <w:rPr>
                <w:b/>
                <w:bCs/>
                <w:sz w:val="22"/>
                <w:szCs w:val="22"/>
              </w:rPr>
              <w:t>Pathirage</w:t>
            </w:r>
            <w:proofErr w:type="spellEnd"/>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Chairman</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Director</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jc w:val="cente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8th July 2020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r w:rsidR="008470C8" w:rsidTr="008470C8">
        <w:trPr>
          <w:trHeight w:val="300"/>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r>
              <w:rPr>
                <w:sz w:val="22"/>
                <w:szCs w:val="22"/>
              </w:rPr>
              <w:t>Colombo</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b/>
                <w:bCs/>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470C8" w:rsidRDefault="008470C8">
            <w:pPr>
              <w:rPr>
                <w:sz w:val="22"/>
                <w:szCs w:val="22"/>
              </w:rPr>
            </w:pPr>
          </w:p>
        </w:tc>
        <w:tc>
          <w:tcPr>
            <w:tcW w:w="0" w:type="auto"/>
            <w:vAlign w:val="center"/>
            <w:hideMark/>
          </w:tcPr>
          <w:p w:rsidR="008470C8" w:rsidRDefault="008470C8">
            <w:pPr>
              <w:rPr>
                <w:sz w:val="20"/>
                <w:szCs w:val="20"/>
              </w:rPr>
            </w:pPr>
          </w:p>
        </w:tc>
      </w:tr>
    </w:tbl>
    <w:p w:rsidR="00865071" w:rsidRDefault="008470C8" w:rsidP="0032208C">
      <w:r>
        <w:t xml:space="preserve"> </w:t>
      </w:r>
      <w:r w:rsidR="00470AD3">
        <w:br w:type="page"/>
      </w:r>
    </w:p>
    <w:sectPr w:rsidR="00865071" w:rsidSect="00CF2048">
      <w:pgSz w:w="16834" w:h="11909"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0CF"/>
    <w:multiLevelType w:val="hybridMultilevel"/>
    <w:tmpl w:val="34A8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75322"/>
    <w:multiLevelType w:val="hybridMultilevel"/>
    <w:tmpl w:val="BBEA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904C8"/>
    <w:multiLevelType w:val="hybridMultilevel"/>
    <w:tmpl w:val="4FBE9418"/>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
    <w:nsid w:val="37C94E9E"/>
    <w:multiLevelType w:val="hybridMultilevel"/>
    <w:tmpl w:val="7D9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30B51"/>
    <w:multiLevelType w:val="hybridMultilevel"/>
    <w:tmpl w:val="014AB262"/>
    <w:lvl w:ilvl="0" w:tplc="BB043E1C">
      <w:start w:val="1"/>
      <w:numFmt w:val="bullet"/>
      <w:lvlText w:val="-"/>
      <w:lvlJc w:val="left"/>
      <w:pPr>
        <w:ind w:left="385" w:hanging="360"/>
      </w:pPr>
      <w:rPr>
        <w:rFonts w:ascii="Times New Roman" w:eastAsiaTheme="minorEastAsia" w:hAnsi="Times New Roman" w:cs="Times New Roman"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5">
    <w:nsid w:val="396D54A2"/>
    <w:multiLevelType w:val="hybridMultilevel"/>
    <w:tmpl w:val="178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71F92"/>
    <w:multiLevelType w:val="hybridMultilevel"/>
    <w:tmpl w:val="48C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75A1A"/>
    <w:multiLevelType w:val="hybridMultilevel"/>
    <w:tmpl w:val="B31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E35C5"/>
    <w:multiLevelType w:val="hybridMultilevel"/>
    <w:tmpl w:val="28A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15DFF"/>
    <w:multiLevelType w:val="hybridMultilevel"/>
    <w:tmpl w:val="945AD054"/>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0">
    <w:nsid w:val="5A593FF1"/>
    <w:multiLevelType w:val="hybridMultilevel"/>
    <w:tmpl w:val="E3B05252"/>
    <w:lvl w:ilvl="0" w:tplc="B2C81BB8">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02383"/>
    <w:multiLevelType w:val="hybridMultilevel"/>
    <w:tmpl w:val="29D2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967B7"/>
    <w:multiLevelType w:val="hybridMultilevel"/>
    <w:tmpl w:val="290E5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F3E15"/>
    <w:multiLevelType w:val="hybridMultilevel"/>
    <w:tmpl w:val="03CCE5DC"/>
    <w:lvl w:ilvl="0" w:tplc="8EAE20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B6D67"/>
    <w:multiLevelType w:val="hybridMultilevel"/>
    <w:tmpl w:val="D3EA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E4611"/>
    <w:multiLevelType w:val="hybridMultilevel"/>
    <w:tmpl w:val="94A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971B5"/>
    <w:multiLevelType w:val="hybridMultilevel"/>
    <w:tmpl w:val="E74AA77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8"/>
  </w:num>
  <w:num w:numId="2">
    <w:abstractNumId w:val="13"/>
  </w:num>
  <w:num w:numId="3">
    <w:abstractNumId w:val="11"/>
  </w:num>
  <w:num w:numId="4">
    <w:abstractNumId w:val="15"/>
  </w:num>
  <w:num w:numId="5">
    <w:abstractNumId w:val="10"/>
  </w:num>
  <w:num w:numId="6">
    <w:abstractNumId w:val="12"/>
  </w:num>
  <w:num w:numId="7">
    <w:abstractNumId w:val="5"/>
  </w:num>
  <w:num w:numId="8">
    <w:abstractNumId w:val="0"/>
  </w:num>
  <w:num w:numId="9">
    <w:abstractNumId w:val="9"/>
  </w:num>
  <w:num w:numId="10">
    <w:abstractNumId w:val="4"/>
  </w:num>
  <w:num w:numId="11">
    <w:abstractNumId w:val="16"/>
  </w:num>
  <w:num w:numId="12">
    <w:abstractNumId w:val="2"/>
  </w:num>
  <w:num w:numId="13">
    <w:abstractNumId w:val="7"/>
  </w:num>
  <w:num w:numId="14">
    <w:abstractNumId w:val="14"/>
  </w:num>
  <w:num w:numId="15">
    <w:abstractNumId w:val="3"/>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C55EC2"/>
    <w:rsid w:val="00091166"/>
    <w:rsid w:val="00177604"/>
    <w:rsid w:val="00223291"/>
    <w:rsid w:val="002E2E6F"/>
    <w:rsid w:val="002F077F"/>
    <w:rsid w:val="0032208C"/>
    <w:rsid w:val="003577EB"/>
    <w:rsid w:val="003A4B2B"/>
    <w:rsid w:val="003D73B3"/>
    <w:rsid w:val="004563A3"/>
    <w:rsid w:val="00470AD3"/>
    <w:rsid w:val="00560771"/>
    <w:rsid w:val="00561285"/>
    <w:rsid w:val="00574F32"/>
    <w:rsid w:val="005B08BB"/>
    <w:rsid w:val="005C7417"/>
    <w:rsid w:val="005E15BE"/>
    <w:rsid w:val="00601414"/>
    <w:rsid w:val="006315FD"/>
    <w:rsid w:val="00657620"/>
    <w:rsid w:val="006C7B3E"/>
    <w:rsid w:val="006D4B7F"/>
    <w:rsid w:val="006E0C45"/>
    <w:rsid w:val="00796B37"/>
    <w:rsid w:val="007D1FE8"/>
    <w:rsid w:val="007E7444"/>
    <w:rsid w:val="008470C8"/>
    <w:rsid w:val="00857DA8"/>
    <w:rsid w:val="00865071"/>
    <w:rsid w:val="008E45D5"/>
    <w:rsid w:val="0093530A"/>
    <w:rsid w:val="009515DC"/>
    <w:rsid w:val="009635A4"/>
    <w:rsid w:val="00987D8F"/>
    <w:rsid w:val="009B6E98"/>
    <w:rsid w:val="00A018D6"/>
    <w:rsid w:val="00A030D4"/>
    <w:rsid w:val="00A041C4"/>
    <w:rsid w:val="00A56169"/>
    <w:rsid w:val="00AA2878"/>
    <w:rsid w:val="00AC7851"/>
    <w:rsid w:val="00AC7950"/>
    <w:rsid w:val="00B43E8D"/>
    <w:rsid w:val="00B71485"/>
    <w:rsid w:val="00BF73D6"/>
    <w:rsid w:val="00C44F04"/>
    <w:rsid w:val="00C55EC2"/>
    <w:rsid w:val="00C55EF7"/>
    <w:rsid w:val="00C82ACC"/>
    <w:rsid w:val="00CA51AE"/>
    <w:rsid w:val="00CB7369"/>
    <w:rsid w:val="00CF0EFE"/>
    <w:rsid w:val="00CF2048"/>
    <w:rsid w:val="00D0483D"/>
    <w:rsid w:val="00D41E43"/>
    <w:rsid w:val="00D61BF3"/>
    <w:rsid w:val="00D70E6F"/>
    <w:rsid w:val="00DD0B74"/>
    <w:rsid w:val="00DD5D8F"/>
    <w:rsid w:val="00E352BD"/>
    <w:rsid w:val="00EC0950"/>
    <w:rsid w:val="00F5430F"/>
    <w:rsid w:val="00F765A5"/>
    <w:rsid w:val="00FA0FB3"/>
    <w:rsid w:val="00FB1853"/>
    <w:rsid w:val="00FB5056"/>
    <w:rsid w:val="00FD6C51"/>
    <w:rsid w:val="00FE197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E"/>
    <w:pPr>
      <w:ind w:left="720"/>
      <w:contextualSpacing/>
    </w:pPr>
  </w:style>
  <w:style w:type="table" w:styleId="TableGrid">
    <w:name w:val="Table Grid"/>
    <w:basedOn w:val="TableNormal"/>
    <w:uiPriority w:val="59"/>
    <w:rsid w:val="00AA287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9398">
      <w:bodyDiv w:val="1"/>
      <w:marLeft w:val="0"/>
      <w:marRight w:val="0"/>
      <w:marTop w:val="0"/>
      <w:marBottom w:val="0"/>
      <w:divBdr>
        <w:top w:val="none" w:sz="0" w:space="0" w:color="auto"/>
        <w:left w:val="none" w:sz="0" w:space="0" w:color="auto"/>
        <w:bottom w:val="none" w:sz="0" w:space="0" w:color="auto"/>
        <w:right w:val="none" w:sz="0" w:space="0" w:color="auto"/>
      </w:divBdr>
    </w:div>
    <w:div w:id="36398770">
      <w:bodyDiv w:val="1"/>
      <w:marLeft w:val="0"/>
      <w:marRight w:val="0"/>
      <w:marTop w:val="0"/>
      <w:marBottom w:val="0"/>
      <w:divBdr>
        <w:top w:val="none" w:sz="0" w:space="0" w:color="auto"/>
        <w:left w:val="none" w:sz="0" w:space="0" w:color="auto"/>
        <w:bottom w:val="none" w:sz="0" w:space="0" w:color="auto"/>
        <w:right w:val="none" w:sz="0" w:space="0" w:color="auto"/>
      </w:divBdr>
    </w:div>
    <w:div w:id="95441547">
      <w:bodyDiv w:val="1"/>
      <w:marLeft w:val="0"/>
      <w:marRight w:val="0"/>
      <w:marTop w:val="0"/>
      <w:marBottom w:val="0"/>
      <w:divBdr>
        <w:top w:val="none" w:sz="0" w:space="0" w:color="auto"/>
        <w:left w:val="none" w:sz="0" w:space="0" w:color="auto"/>
        <w:bottom w:val="none" w:sz="0" w:space="0" w:color="auto"/>
        <w:right w:val="none" w:sz="0" w:space="0" w:color="auto"/>
      </w:divBdr>
    </w:div>
    <w:div w:id="278949077">
      <w:bodyDiv w:val="1"/>
      <w:marLeft w:val="0"/>
      <w:marRight w:val="0"/>
      <w:marTop w:val="0"/>
      <w:marBottom w:val="0"/>
      <w:divBdr>
        <w:top w:val="none" w:sz="0" w:space="0" w:color="auto"/>
        <w:left w:val="none" w:sz="0" w:space="0" w:color="auto"/>
        <w:bottom w:val="none" w:sz="0" w:space="0" w:color="auto"/>
        <w:right w:val="none" w:sz="0" w:space="0" w:color="auto"/>
      </w:divBdr>
    </w:div>
    <w:div w:id="296955705">
      <w:bodyDiv w:val="1"/>
      <w:marLeft w:val="0"/>
      <w:marRight w:val="0"/>
      <w:marTop w:val="0"/>
      <w:marBottom w:val="0"/>
      <w:divBdr>
        <w:top w:val="none" w:sz="0" w:space="0" w:color="auto"/>
        <w:left w:val="none" w:sz="0" w:space="0" w:color="auto"/>
        <w:bottom w:val="none" w:sz="0" w:space="0" w:color="auto"/>
        <w:right w:val="none" w:sz="0" w:space="0" w:color="auto"/>
      </w:divBdr>
    </w:div>
    <w:div w:id="329452628">
      <w:bodyDiv w:val="1"/>
      <w:marLeft w:val="0"/>
      <w:marRight w:val="0"/>
      <w:marTop w:val="0"/>
      <w:marBottom w:val="0"/>
      <w:divBdr>
        <w:top w:val="none" w:sz="0" w:space="0" w:color="auto"/>
        <w:left w:val="none" w:sz="0" w:space="0" w:color="auto"/>
        <w:bottom w:val="none" w:sz="0" w:space="0" w:color="auto"/>
        <w:right w:val="none" w:sz="0" w:space="0" w:color="auto"/>
      </w:divBdr>
    </w:div>
    <w:div w:id="393239125">
      <w:bodyDiv w:val="1"/>
      <w:marLeft w:val="0"/>
      <w:marRight w:val="0"/>
      <w:marTop w:val="0"/>
      <w:marBottom w:val="0"/>
      <w:divBdr>
        <w:top w:val="none" w:sz="0" w:space="0" w:color="auto"/>
        <w:left w:val="none" w:sz="0" w:space="0" w:color="auto"/>
        <w:bottom w:val="none" w:sz="0" w:space="0" w:color="auto"/>
        <w:right w:val="none" w:sz="0" w:space="0" w:color="auto"/>
      </w:divBdr>
    </w:div>
    <w:div w:id="515460384">
      <w:bodyDiv w:val="1"/>
      <w:marLeft w:val="0"/>
      <w:marRight w:val="0"/>
      <w:marTop w:val="0"/>
      <w:marBottom w:val="0"/>
      <w:divBdr>
        <w:top w:val="none" w:sz="0" w:space="0" w:color="auto"/>
        <w:left w:val="none" w:sz="0" w:space="0" w:color="auto"/>
        <w:bottom w:val="none" w:sz="0" w:space="0" w:color="auto"/>
        <w:right w:val="none" w:sz="0" w:space="0" w:color="auto"/>
      </w:divBdr>
    </w:div>
    <w:div w:id="518200826">
      <w:bodyDiv w:val="1"/>
      <w:marLeft w:val="0"/>
      <w:marRight w:val="0"/>
      <w:marTop w:val="0"/>
      <w:marBottom w:val="0"/>
      <w:divBdr>
        <w:top w:val="none" w:sz="0" w:space="0" w:color="auto"/>
        <w:left w:val="none" w:sz="0" w:space="0" w:color="auto"/>
        <w:bottom w:val="none" w:sz="0" w:space="0" w:color="auto"/>
        <w:right w:val="none" w:sz="0" w:space="0" w:color="auto"/>
      </w:divBdr>
    </w:div>
    <w:div w:id="609051802">
      <w:bodyDiv w:val="1"/>
      <w:marLeft w:val="0"/>
      <w:marRight w:val="0"/>
      <w:marTop w:val="0"/>
      <w:marBottom w:val="0"/>
      <w:divBdr>
        <w:top w:val="none" w:sz="0" w:space="0" w:color="auto"/>
        <w:left w:val="none" w:sz="0" w:space="0" w:color="auto"/>
        <w:bottom w:val="none" w:sz="0" w:space="0" w:color="auto"/>
        <w:right w:val="none" w:sz="0" w:space="0" w:color="auto"/>
      </w:divBdr>
    </w:div>
    <w:div w:id="705300735">
      <w:bodyDiv w:val="1"/>
      <w:marLeft w:val="0"/>
      <w:marRight w:val="0"/>
      <w:marTop w:val="0"/>
      <w:marBottom w:val="0"/>
      <w:divBdr>
        <w:top w:val="none" w:sz="0" w:space="0" w:color="auto"/>
        <w:left w:val="none" w:sz="0" w:space="0" w:color="auto"/>
        <w:bottom w:val="none" w:sz="0" w:space="0" w:color="auto"/>
        <w:right w:val="none" w:sz="0" w:space="0" w:color="auto"/>
      </w:divBdr>
    </w:div>
    <w:div w:id="707416512">
      <w:bodyDiv w:val="1"/>
      <w:marLeft w:val="0"/>
      <w:marRight w:val="0"/>
      <w:marTop w:val="0"/>
      <w:marBottom w:val="0"/>
      <w:divBdr>
        <w:top w:val="none" w:sz="0" w:space="0" w:color="auto"/>
        <w:left w:val="none" w:sz="0" w:space="0" w:color="auto"/>
        <w:bottom w:val="none" w:sz="0" w:space="0" w:color="auto"/>
        <w:right w:val="none" w:sz="0" w:space="0" w:color="auto"/>
      </w:divBdr>
    </w:div>
    <w:div w:id="853570936">
      <w:bodyDiv w:val="1"/>
      <w:marLeft w:val="0"/>
      <w:marRight w:val="0"/>
      <w:marTop w:val="0"/>
      <w:marBottom w:val="0"/>
      <w:divBdr>
        <w:top w:val="none" w:sz="0" w:space="0" w:color="auto"/>
        <w:left w:val="none" w:sz="0" w:space="0" w:color="auto"/>
        <w:bottom w:val="none" w:sz="0" w:space="0" w:color="auto"/>
        <w:right w:val="none" w:sz="0" w:space="0" w:color="auto"/>
      </w:divBdr>
    </w:div>
    <w:div w:id="1073234882">
      <w:bodyDiv w:val="1"/>
      <w:marLeft w:val="0"/>
      <w:marRight w:val="0"/>
      <w:marTop w:val="0"/>
      <w:marBottom w:val="0"/>
      <w:divBdr>
        <w:top w:val="none" w:sz="0" w:space="0" w:color="auto"/>
        <w:left w:val="none" w:sz="0" w:space="0" w:color="auto"/>
        <w:bottom w:val="none" w:sz="0" w:space="0" w:color="auto"/>
        <w:right w:val="none" w:sz="0" w:space="0" w:color="auto"/>
      </w:divBdr>
    </w:div>
    <w:div w:id="1080370634">
      <w:bodyDiv w:val="1"/>
      <w:marLeft w:val="0"/>
      <w:marRight w:val="0"/>
      <w:marTop w:val="0"/>
      <w:marBottom w:val="0"/>
      <w:divBdr>
        <w:top w:val="none" w:sz="0" w:space="0" w:color="auto"/>
        <w:left w:val="none" w:sz="0" w:space="0" w:color="auto"/>
        <w:bottom w:val="none" w:sz="0" w:space="0" w:color="auto"/>
        <w:right w:val="none" w:sz="0" w:space="0" w:color="auto"/>
      </w:divBdr>
    </w:div>
    <w:div w:id="1135954381">
      <w:bodyDiv w:val="1"/>
      <w:marLeft w:val="0"/>
      <w:marRight w:val="0"/>
      <w:marTop w:val="0"/>
      <w:marBottom w:val="0"/>
      <w:divBdr>
        <w:top w:val="none" w:sz="0" w:space="0" w:color="auto"/>
        <w:left w:val="none" w:sz="0" w:space="0" w:color="auto"/>
        <w:bottom w:val="none" w:sz="0" w:space="0" w:color="auto"/>
        <w:right w:val="none" w:sz="0" w:space="0" w:color="auto"/>
      </w:divBdr>
    </w:div>
    <w:div w:id="1389573097">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581911399">
      <w:bodyDiv w:val="1"/>
      <w:marLeft w:val="0"/>
      <w:marRight w:val="0"/>
      <w:marTop w:val="0"/>
      <w:marBottom w:val="0"/>
      <w:divBdr>
        <w:top w:val="none" w:sz="0" w:space="0" w:color="auto"/>
        <w:left w:val="none" w:sz="0" w:space="0" w:color="auto"/>
        <w:bottom w:val="none" w:sz="0" w:space="0" w:color="auto"/>
        <w:right w:val="none" w:sz="0" w:space="0" w:color="auto"/>
      </w:divBdr>
    </w:div>
    <w:div w:id="1710377396">
      <w:bodyDiv w:val="1"/>
      <w:marLeft w:val="0"/>
      <w:marRight w:val="0"/>
      <w:marTop w:val="0"/>
      <w:marBottom w:val="0"/>
      <w:divBdr>
        <w:top w:val="none" w:sz="0" w:space="0" w:color="auto"/>
        <w:left w:val="none" w:sz="0" w:space="0" w:color="auto"/>
        <w:bottom w:val="none" w:sz="0" w:space="0" w:color="auto"/>
        <w:right w:val="none" w:sz="0" w:space="0" w:color="auto"/>
      </w:divBdr>
    </w:div>
    <w:div w:id="1739093450">
      <w:bodyDiv w:val="1"/>
      <w:marLeft w:val="0"/>
      <w:marRight w:val="0"/>
      <w:marTop w:val="0"/>
      <w:marBottom w:val="0"/>
      <w:divBdr>
        <w:top w:val="none" w:sz="0" w:space="0" w:color="auto"/>
        <w:left w:val="none" w:sz="0" w:space="0" w:color="auto"/>
        <w:bottom w:val="none" w:sz="0" w:space="0" w:color="auto"/>
        <w:right w:val="none" w:sz="0" w:space="0" w:color="auto"/>
      </w:divBdr>
    </w:div>
    <w:div w:id="1814638143">
      <w:bodyDiv w:val="1"/>
      <w:marLeft w:val="0"/>
      <w:marRight w:val="0"/>
      <w:marTop w:val="0"/>
      <w:marBottom w:val="0"/>
      <w:divBdr>
        <w:top w:val="none" w:sz="0" w:space="0" w:color="auto"/>
        <w:left w:val="none" w:sz="0" w:space="0" w:color="auto"/>
        <w:bottom w:val="none" w:sz="0" w:space="0" w:color="auto"/>
        <w:right w:val="none" w:sz="0" w:space="0" w:color="auto"/>
      </w:divBdr>
    </w:div>
    <w:div w:id="1841192406">
      <w:bodyDiv w:val="1"/>
      <w:marLeft w:val="0"/>
      <w:marRight w:val="0"/>
      <w:marTop w:val="0"/>
      <w:marBottom w:val="0"/>
      <w:divBdr>
        <w:top w:val="none" w:sz="0" w:space="0" w:color="auto"/>
        <w:left w:val="none" w:sz="0" w:space="0" w:color="auto"/>
        <w:bottom w:val="none" w:sz="0" w:space="0" w:color="auto"/>
        <w:right w:val="none" w:sz="0" w:space="0" w:color="auto"/>
      </w:divBdr>
    </w:div>
    <w:div w:id="1844315966">
      <w:bodyDiv w:val="1"/>
      <w:marLeft w:val="0"/>
      <w:marRight w:val="0"/>
      <w:marTop w:val="0"/>
      <w:marBottom w:val="0"/>
      <w:divBdr>
        <w:top w:val="none" w:sz="0" w:space="0" w:color="auto"/>
        <w:left w:val="none" w:sz="0" w:space="0" w:color="auto"/>
        <w:bottom w:val="none" w:sz="0" w:space="0" w:color="auto"/>
        <w:right w:val="none" w:sz="0" w:space="0" w:color="auto"/>
      </w:divBdr>
    </w:div>
    <w:div w:id="1967199352">
      <w:bodyDiv w:val="1"/>
      <w:marLeft w:val="0"/>
      <w:marRight w:val="0"/>
      <w:marTop w:val="0"/>
      <w:marBottom w:val="0"/>
      <w:divBdr>
        <w:top w:val="none" w:sz="0" w:space="0" w:color="auto"/>
        <w:left w:val="none" w:sz="0" w:space="0" w:color="auto"/>
        <w:bottom w:val="none" w:sz="0" w:space="0" w:color="auto"/>
        <w:right w:val="none" w:sz="0" w:space="0" w:color="auto"/>
      </w:divBdr>
    </w:div>
    <w:div w:id="1967270350">
      <w:bodyDiv w:val="1"/>
      <w:marLeft w:val="0"/>
      <w:marRight w:val="0"/>
      <w:marTop w:val="0"/>
      <w:marBottom w:val="0"/>
      <w:divBdr>
        <w:top w:val="none" w:sz="0" w:space="0" w:color="auto"/>
        <w:left w:val="none" w:sz="0" w:space="0" w:color="auto"/>
        <w:bottom w:val="none" w:sz="0" w:space="0" w:color="auto"/>
        <w:right w:val="none" w:sz="0" w:space="0" w:color="auto"/>
      </w:divBdr>
    </w:div>
    <w:div w:id="20741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smarrt</dc:creator>
  <cp:lastModifiedBy>Compaq</cp:lastModifiedBy>
  <cp:revision>2</cp:revision>
  <cp:lastPrinted>2021-03-15T07:12:00Z</cp:lastPrinted>
  <dcterms:created xsi:type="dcterms:W3CDTF">2021-04-10T01:49:00Z</dcterms:created>
  <dcterms:modified xsi:type="dcterms:W3CDTF">2021-04-10T01:49:00Z</dcterms:modified>
</cp:coreProperties>
</file>